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806"/>
        <w:gridCol w:w="8048"/>
      </w:tblGrid>
      <w:tr w:rsidR="00D727F4" w:rsidRPr="008E0221" w:rsidTr="00A93010">
        <w:tc>
          <w:tcPr>
            <w:tcW w:w="1809" w:type="dxa"/>
          </w:tcPr>
          <w:p w:rsidR="00D727F4" w:rsidRPr="008E0221" w:rsidRDefault="0018243F" w:rsidP="00A93010">
            <w:bookmarkStart w:id="0" w:name="_Toc209337060"/>
            <w:bookmarkStart w:id="1" w:name="_Toc209337115"/>
            <w:r>
              <w:rPr>
                <w:noProof/>
              </w:rPr>
              <w:drawing>
                <wp:inline distT="0" distB="0" distL="0" distR="0">
                  <wp:extent cx="929640" cy="1082040"/>
                  <wp:effectExtent l="19050" t="0" r="3810" b="0"/>
                  <wp:docPr id="2" name="Bilde 2" descr="Mkomf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komfrg"/>
                          <pic:cNvPicPr>
                            <a:picLocks noChangeAspect="1" noChangeArrowheads="1"/>
                          </pic:cNvPicPr>
                        </pic:nvPicPr>
                        <pic:blipFill>
                          <a:blip r:embed="rId7" cstate="print"/>
                          <a:srcRect/>
                          <a:stretch>
                            <a:fillRect/>
                          </a:stretch>
                        </pic:blipFill>
                        <pic:spPr bwMode="auto">
                          <a:xfrm>
                            <a:off x="0" y="0"/>
                            <a:ext cx="929640" cy="1082040"/>
                          </a:xfrm>
                          <a:prstGeom prst="rect">
                            <a:avLst/>
                          </a:prstGeom>
                          <a:noFill/>
                          <a:ln w="9525">
                            <a:noFill/>
                            <a:miter lim="800000"/>
                            <a:headEnd/>
                            <a:tailEnd/>
                          </a:ln>
                        </pic:spPr>
                      </pic:pic>
                    </a:graphicData>
                  </a:graphic>
                </wp:inline>
              </w:drawing>
            </w:r>
          </w:p>
        </w:tc>
        <w:tc>
          <w:tcPr>
            <w:tcW w:w="8195" w:type="dxa"/>
          </w:tcPr>
          <w:p w:rsidR="00D727F4" w:rsidRPr="003529DB" w:rsidRDefault="00D727F4" w:rsidP="00A93010">
            <w:pPr>
              <w:rPr>
                <w:sz w:val="12"/>
              </w:rPr>
            </w:pPr>
          </w:p>
          <w:p w:rsidR="00D727F4" w:rsidRPr="003529DB" w:rsidRDefault="00D727F4" w:rsidP="00A93010">
            <w:pPr>
              <w:rPr>
                <w:sz w:val="72"/>
              </w:rPr>
            </w:pPr>
            <w:r w:rsidRPr="003529DB">
              <w:rPr>
                <w:sz w:val="72"/>
              </w:rPr>
              <w:t>Meråker kommune</w:t>
            </w:r>
          </w:p>
        </w:tc>
      </w:tr>
    </w:tbl>
    <w:p w:rsidR="00D727F4" w:rsidRPr="008E0221" w:rsidRDefault="00D727F4" w:rsidP="00D727F4"/>
    <w:p w:rsidR="00D727F4" w:rsidRPr="008E0221" w:rsidRDefault="00D727F4" w:rsidP="00D727F4">
      <w:pPr>
        <w:tabs>
          <w:tab w:val="left" w:pos="284"/>
        </w:tabs>
        <w:rPr>
          <w:noProof/>
          <w:color w:val="0000FF"/>
        </w:rPr>
      </w:pPr>
    </w:p>
    <w:p w:rsidR="00D727F4" w:rsidRPr="008E0221" w:rsidRDefault="00D727F4" w:rsidP="00D727F4">
      <w:pPr>
        <w:tabs>
          <w:tab w:val="left" w:pos="284"/>
        </w:tabs>
        <w:rPr>
          <w:noProof/>
          <w:color w:val="0000FF"/>
        </w:rPr>
      </w:pPr>
    </w:p>
    <w:p w:rsidR="00D727F4" w:rsidRPr="008E0221" w:rsidRDefault="00D727F4" w:rsidP="00D727F4">
      <w:pPr>
        <w:keepNext/>
        <w:jc w:val="center"/>
        <w:outlineLvl w:val="3"/>
        <w:rPr>
          <w:b/>
          <w:bCs/>
          <w:sz w:val="60"/>
          <w:szCs w:val="60"/>
        </w:rPr>
      </w:pPr>
    </w:p>
    <w:p w:rsidR="00D727F4" w:rsidRPr="008E0221" w:rsidRDefault="00D727F4" w:rsidP="00D727F4">
      <w:pPr>
        <w:keepNext/>
        <w:jc w:val="center"/>
        <w:outlineLvl w:val="3"/>
        <w:rPr>
          <w:b/>
          <w:bCs/>
          <w:sz w:val="60"/>
          <w:szCs w:val="60"/>
        </w:rPr>
      </w:pPr>
      <w:r>
        <w:rPr>
          <w:b/>
          <w:bCs/>
          <w:sz w:val="60"/>
          <w:szCs w:val="60"/>
        </w:rPr>
        <w:t>Varslingsrutiner</w:t>
      </w:r>
    </w:p>
    <w:p w:rsidR="00D727F4" w:rsidRDefault="00D727F4" w:rsidP="00D727F4">
      <w:pPr>
        <w:keepNext/>
        <w:jc w:val="center"/>
        <w:outlineLvl w:val="5"/>
        <w:rPr>
          <w:b/>
          <w:bCs/>
          <w:sz w:val="40"/>
          <w:szCs w:val="40"/>
        </w:rPr>
      </w:pPr>
    </w:p>
    <w:p w:rsidR="00D727F4" w:rsidRPr="008E0221" w:rsidRDefault="00D727F4" w:rsidP="00D727F4">
      <w:pPr>
        <w:keepNext/>
        <w:jc w:val="center"/>
        <w:outlineLvl w:val="5"/>
        <w:rPr>
          <w:b/>
          <w:bCs/>
          <w:sz w:val="40"/>
          <w:szCs w:val="40"/>
        </w:rPr>
      </w:pPr>
    </w:p>
    <w:p w:rsidR="00163E6D" w:rsidRDefault="00163E6D" w:rsidP="00DC75CB">
      <w:pPr>
        <w:keepNext/>
        <w:jc w:val="center"/>
        <w:outlineLvl w:val="5"/>
        <w:rPr>
          <w:bCs/>
          <w:sz w:val="40"/>
          <w:szCs w:val="40"/>
        </w:rPr>
      </w:pPr>
      <w:r>
        <w:rPr>
          <w:bCs/>
          <w:sz w:val="40"/>
          <w:szCs w:val="40"/>
        </w:rPr>
        <w:t>f</w:t>
      </w:r>
      <w:r w:rsidR="00D727F4" w:rsidRPr="003529DB">
        <w:rPr>
          <w:bCs/>
          <w:sz w:val="40"/>
          <w:szCs w:val="40"/>
        </w:rPr>
        <w:t>or</w:t>
      </w:r>
      <w:r w:rsidR="00DC75CB">
        <w:rPr>
          <w:bCs/>
          <w:sz w:val="40"/>
          <w:szCs w:val="40"/>
        </w:rPr>
        <w:t xml:space="preserve"> </w:t>
      </w:r>
      <w:r w:rsidR="00D727F4">
        <w:rPr>
          <w:bCs/>
          <w:sz w:val="40"/>
          <w:szCs w:val="40"/>
        </w:rPr>
        <w:t>kritikkverdige forhold</w:t>
      </w:r>
    </w:p>
    <w:p w:rsidR="00163E6D" w:rsidRDefault="00163E6D" w:rsidP="00DC75CB">
      <w:pPr>
        <w:keepNext/>
        <w:jc w:val="center"/>
        <w:outlineLvl w:val="5"/>
        <w:rPr>
          <w:bCs/>
          <w:sz w:val="40"/>
          <w:szCs w:val="40"/>
        </w:rPr>
      </w:pPr>
    </w:p>
    <w:p w:rsidR="00D727F4" w:rsidRPr="003529DB" w:rsidRDefault="00DC75CB" w:rsidP="00DC75CB">
      <w:pPr>
        <w:keepNext/>
        <w:jc w:val="center"/>
        <w:outlineLvl w:val="5"/>
        <w:rPr>
          <w:bCs/>
          <w:sz w:val="40"/>
          <w:szCs w:val="40"/>
        </w:rPr>
      </w:pPr>
      <w:r>
        <w:rPr>
          <w:bCs/>
          <w:sz w:val="40"/>
          <w:szCs w:val="40"/>
        </w:rPr>
        <w:t>i Meråker kommune</w:t>
      </w:r>
    </w:p>
    <w:p w:rsidR="00D727F4" w:rsidRPr="008E0221" w:rsidRDefault="00D727F4" w:rsidP="00D727F4">
      <w:pPr>
        <w:jc w:val="center"/>
      </w:pPr>
    </w:p>
    <w:p w:rsidR="00D727F4" w:rsidRPr="008E0221" w:rsidRDefault="00D727F4" w:rsidP="00D727F4">
      <w:pPr>
        <w:jc w:val="center"/>
      </w:pPr>
    </w:p>
    <w:p w:rsidR="00D727F4" w:rsidRPr="008E0221" w:rsidRDefault="00D727F4" w:rsidP="00D727F4"/>
    <w:p w:rsidR="00D727F4" w:rsidRPr="008E0221" w:rsidRDefault="00D727F4" w:rsidP="00D727F4"/>
    <w:p w:rsidR="00D727F4" w:rsidRPr="008E0221" w:rsidRDefault="00D727F4" w:rsidP="00D727F4">
      <w:pPr>
        <w:tabs>
          <w:tab w:val="left" w:pos="284"/>
        </w:tabs>
      </w:pPr>
    </w:p>
    <w:p w:rsidR="00D727F4" w:rsidRPr="008E0221" w:rsidRDefault="0018243F" w:rsidP="00DC75CB">
      <w:pPr>
        <w:tabs>
          <w:tab w:val="left" w:pos="284"/>
        </w:tabs>
        <w:jc w:val="center"/>
      </w:pPr>
      <w:r>
        <w:rPr>
          <w:noProof/>
          <w:sz w:val="40"/>
          <w:szCs w:val="40"/>
        </w:rPr>
        <w:drawing>
          <wp:inline distT="0" distB="0" distL="0" distR="0">
            <wp:extent cx="1813560" cy="1531620"/>
            <wp:effectExtent l="19050" t="0" r="0" b="0"/>
            <wp:docPr id="3" name="Bilde 3" descr="j030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00840"/>
                    <pic:cNvPicPr>
                      <a:picLocks noChangeAspect="1" noChangeArrowheads="1"/>
                    </pic:cNvPicPr>
                  </pic:nvPicPr>
                  <pic:blipFill>
                    <a:blip r:embed="rId8" cstate="print"/>
                    <a:srcRect/>
                    <a:stretch>
                      <a:fillRect/>
                    </a:stretch>
                  </pic:blipFill>
                  <pic:spPr bwMode="auto">
                    <a:xfrm>
                      <a:off x="0" y="0"/>
                      <a:ext cx="1813560" cy="1531620"/>
                    </a:xfrm>
                    <a:prstGeom prst="rect">
                      <a:avLst/>
                    </a:prstGeom>
                    <a:noFill/>
                    <a:ln w="9525">
                      <a:noFill/>
                      <a:miter lim="800000"/>
                      <a:headEnd/>
                      <a:tailEnd/>
                    </a:ln>
                  </pic:spPr>
                </pic:pic>
              </a:graphicData>
            </a:graphic>
          </wp:inline>
        </w:drawing>
      </w:r>
    </w:p>
    <w:p w:rsidR="00D727F4" w:rsidRPr="008E0221" w:rsidRDefault="00D727F4" w:rsidP="00D727F4">
      <w:pPr>
        <w:tabs>
          <w:tab w:val="left" w:pos="284"/>
        </w:tabs>
      </w:pPr>
    </w:p>
    <w:p w:rsidR="00D727F4" w:rsidRPr="008E0221" w:rsidRDefault="00D727F4" w:rsidP="00D727F4">
      <w:pPr>
        <w:tabs>
          <w:tab w:val="left" w:pos="284"/>
        </w:tabs>
      </w:pPr>
    </w:p>
    <w:p w:rsidR="00D727F4" w:rsidRPr="008E0221" w:rsidRDefault="00D727F4" w:rsidP="00D727F4">
      <w:pPr>
        <w:tabs>
          <w:tab w:val="left" w:pos="284"/>
        </w:tabs>
      </w:pPr>
    </w:p>
    <w:p w:rsidR="00DC75CB" w:rsidRDefault="00DC75CB" w:rsidP="00D727F4">
      <w:pPr>
        <w:tabs>
          <w:tab w:val="left" w:pos="284"/>
        </w:tabs>
        <w:jc w:val="center"/>
      </w:pPr>
    </w:p>
    <w:p w:rsidR="00DC75CB" w:rsidRDefault="00DC75CB" w:rsidP="00D727F4">
      <w:pPr>
        <w:tabs>
          <w:tab w:val="left" w:pos="284"/>
        </w:tabs>
        <w:jc w:val="center"/>
      </w:pPr>
    </w:p>
    <w:p w:rsidR="00DC75CB" w:rsidRDefault="00DC75CB" w:rsidP="00D727F4">
      <w:pPr>
        <w:tabs>
          <w:tab w:val="left" w:pos="284"/>
        </w:tabs>
        <w:jc w:val="center"/>
      </w:pPr>
    </w:p>
    <w:p w:rsidR="00DC75CB" w:rsidRDefault="00DC75CB" w:rsidP="00D727F4">
      <w:pPr>
        <w:tabs>
          <w:tab w:val="left" w:pos="284"/>
        </w:tabs>
        <w:jc w:val="center"/>
      </w:pPr>
    </w:p>
    <w:p w:rsidR="00DC75CB" w:rsidRDefault="00DC75CB" w:rsidP="00D727F4">
      <w:pPr>
        <w:tabs>
          <w:tab w:val="left" w:pos="284"/>
        </w:tabs>
        <w:jc w:val="center"/>
      </w:pPr>
    </w:p>
    <w:p w:rsidR="00DC75CB" w:rsidRDefault="00DC75CB" w:rsidP="00DC75CB">
      <w:pPr>
        <w:tabs>
          <w:tab w:val="left" w:pos="284"/>
        </w:tabs>
        <w:jc w:val="center"/>
      </w:pPr>
    </w:p>
    <w:p w:rsidR="00DC75CB" w:rsidRDefault="00DC75CB" w:rsidP="00DC75CB">
      <w:pPr>
        <w:tabs>
          <w:tab w:val="left" w:pos="284"/>
        </w:tabs>
        <w:jc w:val="center"/>
      </w:pPr>
    </w:p>
    <w:p w:rsidR="00DC75CB" w:rsidRDefault="00DC75CB" w:rsidP="00DC75CB">
      <w:pPr>
        <w:tabs>
          <w:tab w:val="left" w:pos="284"/>
        </w:tabs>
        <w:jc w:val="center"/>
      </w:pPr>
    </w:p>
    <w:p w:rsidR="00163E6D" w:rsidRDefault="00163E6D" w:rsidP="00DC75CB">
      <w:pPr>
        <w:tabs>
          <w:tab w:val="left" w:pos="284"/>
        </w:tabs>
        <w:jc w:val="center"/>
      </w:pPr>
    </w:p>
    <w:p w:rsidR="00DC75CB" w:rsidRDefault="00DC75CB" w:rsidP="00DC75CB">
      <w:pPr>
        <w:tabs>
          <w:tab w:val="left" w:pos="284"/>
        </w:tabs>
        <w:jc w:val="center"/>
      </w:pPr>
    </w:p>
    <w:p w:rsidR="00DC75CB" w:rsidRPr="008E0221" w:rsidRDefault="0018243F" w:rsidP="00DC75CB">
      <w:pPr>
        <w:keepNext/>
        <w:tabs>
          <w:tab w:val="left" w:pos="284"/>
        </w:tabs>
        <w:jc w:val="center"/>
        <w:outlineLvl w:val="2"/>
      </w:pPr>
      <w:r>
        <w:t>Vedtatt i kommunestyrets sak 94/09 i møte 30.11.2009</w:t>
      </w:r>
      <w:r w:rsidR="00DC75CB" w:rsidRPr="008E0221">
        <w:t>.</w:t>
      </w:r>
    </w:p>
    <w:p w:rsidR="00D727F4" w:rsidRDefault="00D727F4" w:rsidP="00D727F4">
      <w:pPr>
        <w:keepNext/>
        <w:tabs>
          <w:tab w:val="left" w:pos="284"/>
        </w:tabs>
        <w:jc w:val="center"/>
        <w:outlineLvl w:val="2"/>
      </w:pPr>
    </w:p>
    <w:p w:rsidR="00FC3772" w:rsidRDefault="002277A4" w:rsidP="00FC3772">
      <w:pPr>
        <w:spacing w:after="120"/>
        <w:rPr>
          <w:b/>
          <w:sz w:val="32"/>
        </w:rPr>
      </w:pPr>
      <w:r>
        <w:rPr>
          <w:b/>
          <w:sz w:val="32"/>
        </w:rPr>
        <w:br w:type="page"/>
      </w:r>
    </w:p>
    <w:p w:rsidR="00FC3772" w:rsidRPr="004E1678" w:rsidRDefault="00FC3772" w:rsidP="00F721B1">
      <w:pPr>
        <w:spacing w:after="120"/>
        <w:rPr>
          <w:b/>
          <w:sz w:val="36"/>
        </w:rPr>
      </w:pPr>
      <w:r w:rsidRPr="004E1678">
        <w:rPr>
          <w:b/>
          <w:sz w:val="36"/>
        </w:rPr>
        <w:t>Innholdsfortegnelse</w:t>
      </w:r>
    </w:p>
    <w:p w:rsidR="00FC3772" w:rsidRDefault="00FC3772" w:rsidP="00FC3772">
      <w:pPr>
        <w:spacing w:after="120"/>
        <w:rPr>
          <w:b/>
          <w:sz w:val="26"/>
        </w:rPr>
      </w:pPr>
    </w:p>
    <w:p w:rsidR="00FC3772" w:rsidRPr="00FC3772" w:rsidRDefault="00FC3772" w:rsidP="00FC3772">
      <w:pPr>
        <w:tabs>
          <w:tab w:val="left" w:pos="426"/>
          <w:tab w:val="left" w:pos="1418"/>
          <w:tab w:val="left" w:leader="underscore" w:pos="9639"/>
        </w:tabs>
        <w:spacing w:after="120"/>
      </w:pPr>
      <w:r w:rsidRPr="00FC3772">
        <w:t>1.</w:t>
      </w:r>
      <w:r w:rsidRPr="00FC3772">
        <w:tab/>
        <w:t>Bakgrunn</w:t>
      </w:r>
      <w:r w:rsidRPr="00FC3772">
        <w:tab/>
      </w:r>
      <w:r w:rsidRPr="00FC3772">
        <w:tab/>
        <w:t>3</w:t>
      </w:r>
    </w:p>
    <w:p w:rsidR="00FC3772" w:rsidRPr="00FC3772" w:rsidRDefault="00FC3772" w:rsidP="004E1678">
      <w:pPr>
        <w:tabs>
          <w:tab w:val="left" w:pos="426"/>
          <w:tab w:val="left" w:pos="1134"/>
          <w:tab w:val="left" w:leader="underscore" w:pos="9639"/>
        </w:tabs>
        <w:spacing w:after="120"/>
      </w:pPr>
      <w:r w:rsidRPr="00FC3772">
        <w:t>2.</w:t>
      </w:r>
      <w:r w:rsidRPr="00FC3772">
        <w:tab/>
        <w:t>Formål</w:t>
      </w:r>
      <w:r w:rsidRPr="00FC3772">
        <w:tab/>
      </w:r>
      <w:r w:rsidRPr="00FC3772">
        <w:tab/>
        <w:t>3</w:t>
      </w:r>
    </w:p>
    <w:p w:rsidR="00FC3772" w:rsidRPr="00FC3772" w:rsidRDefault="00FC3772" w:rsidP="004E1678">
      <w:pPr>
        <w:tabs>
          <w:tab w:val="left" w:pos="426"/>
          <w:tab w:val="left" w:pos="1276"/>
          <w:tab w:val="left" w:leader="underscore" w:pos="9639"/>
        </w:tabs>
        <w:spacing w:after="120"/>
      </w:pPr>
      <w:r w:rsidRPr="00FC3772">
        <w:t>3.</w:t>
      </w:r>
      <w:r w:rsidRPr="00FC3772">
        <w:tab/>
        <w:t>Omfang</w:t>
      </w:r>
      <w:r w:rsidRPr="00FC3772">
        <w:tab/>
      </w:r>
      <w:r w:rsidRPr="00FC3772">
        <w:tab/>
        <w:t>3</w:t>
      </w:r>
    </w:p>
    <w:p w:rsidR="00FC3772" w:rsidRPr="00FC3772" w:rsidRDefault="00FC3772" w:rsidP="00FC3772">
      <w:pPr>
        <w:tabs>
          <w:tab w:val="left" w:pos="426"/>
          <w:tab w:val="left" w:pos="2268"/>
          <w:tab w:val="left" w:leader="underscore" w:pos="9639"/>
        </w:tabs>
        <w:spacing w:after="120"/>
      </w:pPr>
      <w:r w:rsidRPr="00FC3772">
        <w:t>4.</w:t>
      </w:r>
      <w:r w:rsidRPr="00FC3772">
        <w:tab/>
        <w:t>Ansvar/myndighet</w:t>
      </w:r>
      <w:r w:rsidRPr="00FC3772">
        <w:tab/>
      </w:r>
      <w:r w:rsidRPr="00FC3772">
        <w:tab/>
        <w:t>3</w:t>
      </w:r>
    </w:p>
    <w:p w:rsidR="00FC3772" w:rsidRPr="00FC3772" w:rsidRDefault="00FC3772" w:rsidP="004E1678">
      <w:pPr>
        <w:tabs>
          <w:tab w:val="left" w:pos="426"/>
          <w:tab w:val="left" w:pos="1701"/>
          <w:tab w:val="left" w:leader="underscore" w:pos="9639"/>
        </w:tabs>
        <w:spacing w:after="120"/>
      </w:pPr>
      <w:r w:rsidRPr="00FC3772">
        <w:t>5.</w:t>
      </w:r>
      <w:r w:rsidRPr="00FC3772">
        <w:tab/>
        <w:t>Definisjoner</w:t>
      </w:r>
      <w:r w:rsidRPr="00FC3772">
        <w:tab/>
      </w:r>
      <w:r w:rsidRPr="00FC3772">
        <w:tab/>
        <w:t>3</w:t>
      </w:r>
    </w:p>
    <w:p w:rsidR="00FC3772" w:rsidRPr="00FC3772" w:rsidRDefault="00E6790A" w:rsidP="004E1678">
      <w:pPr>
        <w:tabs>
          <w:tab w:val="left" w:pos="426"/>
          <w:tab w:val="left" w:pos="3261"/>
          <w:tab w:val="left" w:leader="underscore" w:pos="9639"/>
        </w:tabs>
        <w:spacing w:after="120"/>
      </w:pPr>
      <w:r>
        <w:t>6.</w:t>
      </w:r>
      <w:r>
        <w:tab/>
        <w:t>Framgangsmåte ved varsling</w:t>
      </w:r>
      <w:r>
        <w:tab/>
      </w:r>
      <w:r>
        <w:tab/>
        <w:t>3</w:t>
      </w:r>
    </w:p>
    <w:p w:rsidR="00FC3772" w:rsidRPr="00FC3772" w:rsidRDefault="00FC3772" w:rsidP="004E1678">
      <w:pPr>
        <w:tabs>
          <w:tab w:val="left" w:pos="426"/>
          <w:tab w:val="left" w:pos="1985"/>
          <w:tab w:val="left" w:leader="underscore" w:pos="9639"/>
        </w:tabs>
        <w:spacing w:after="120"/>
      </w:pPr>
      <w:r w:rsidRPr="00FC3772">
        <w:t>7.</w:t>
      </w:r>
      <w:r w:rsidRPr="00FC3772">
        <w:tab/>
        <w:t>Plikt til å varsle</w:t>
      </w:r>
      <w:r w:rsidRPr="00FC3772">
        <w:tab/>
      </w:r>
      <w:r w:rsidRPr="00FC3772">
        <w:tab/>
        <w:t>4</w:t>
      </w:r>
    </w:p>
    <w:p w:rsidR="00FC3772" w:rsidRPr="00FC3772" w:rsidRDefault="00FC3772" w:rsidP="004E1678">
      <w:pPr>
        <w:tabs>
          <w:tab w:val="left" w:pos="426"/>
          <w:tab w:val="left" w:pos="2268"/>
          <w:tab w:val="left" w:leader="underscore" w:pos="9639"/>
        </w:tabs>
        <w:spacing w:after="120"/>
      </w:pPr>
      <w:r w:rsidRPr="00FC3772">
        <w:t>8.</w:t>
      </w:r>
      <w:r w:rsidRPr="00FC3772">
        <w:tab/>
        <w:t>Forsvarlig varsling</w:t>
      </w:r>
      <w:r w:rsidRPr="00FC3772">
        <w:tab/>
      </w:r>
      <w:r w:rsidRPr="00FC3772">
        <w:tab/>
        <w:t>4</w:t>
      </w:r>
    </w:p>
    <w:p w:rsidR="00FC3772" w:rsidRPr="00FC3772" w:rsidRDefault="00FC3772" w:rsidP="004E1678">
      <w:pPr>
        <w:tabs>
          <w:tab w:val="left" w:pos="426"/>
          <w:tab w:val="left" w:pos="2694"/>
          <w:tab w:val="left" w:leader="underscore" w:pos="9639"/>
        </w:tabs>
        <w:spacing w:after="120"/>
      </w:pPr>
      <w:r w:rsidRPr="00FC3772">
        <w:t>9.</w:t>
      </w:r>
      <w:r w:rsidRPr="00FC3772">
        <w:tab/>
        <w:t>Oppfølging av varsling</w:t>
      </w:r>
      <w:r w:rsidRPr="00FC3772">
        <w:tab/>
      </w:r>
      <w:r w:rsidRPr="00FC3772">
        <w:tab/>
        <w:t>5</w:t>
      </w:r>
    </w:p>
    <w:p w:rsidR="00FC3772" w:rsidRPr="00FC3772" w:rsidRDefault="00822A54" w:rsidP="00FC3772">
      <w:pPr>
        <w:tabs>
          <w:tab w:val="left" w:pos="426"/>
          <w:tab w:val="left" w:pos="1843"/>
          <w:tab w:val="left" w:leader="underscore" w:pos="9639"/>
        </w:tabs>
        <w:spacing w:after="120"/>
      </w:pPr>
      <w:r>
        <w:t>10.</w:t>
      </w:r>
      <w:r>
        <w:tab/>
        <w:t>Taushetsplikt</w:t>
      </w:r>
      <w:r>
        <w:tab/>
      </w:r>
      <w:r>
        <w:tab/>
        <w:t>6</w:t>
      </w:r>
    </w:p>
    <w:p w:rsidR="00FC3772" w:rsidRDefault="00FC3772" w:rsidP="00FC3772">
      <w:pPr>
        <w:tabs>
          <w:tab w:val="left" w:pos="426"/>
          <w:tab w:val="left" w:pos="4111"/>
          <w:tab w:val="left" w:leader="underscore" w:pos="9639"/>
        </w:tabs>
        <w:spacing w:after="120"/>
      </w:pPr>
    </w:p>
    <w:p w:rsidR="00FC3772" w:rsidRPr="00FC3772" w:rsidRDefault="00FC3772" w:rsidP="00FC3772">
      <w:pPr>
        <w:tabs>
          <w:tab w:val="left" w:pos="426"/>
          <w:tab w:val="left" w:pos="4111"/>
          <w:tab w:val="left" w:leader="underscore" w:pos="9639"/>
        </w:tabs>
        <w:spacing w:after="120"/>
      </w:pPr>
    </w:p>
    <w:p w:rsidR="00FC3772" w:rsidRPr="00FC3772" w:rsidRDefault="00FC3772" w:rsidP="00FC3772">
      <w:pPr>
        <w:tabs>
          <w:tab w:val="left" w:pos="426"/>
          <w:tab w:val="left" w:pos="4111"/>
          <w:tab w:val="left" w:leader="underscore" w:pos="9639"/>
        </w:tabs>
        <w:spacing w:after="120"/>
        <w:rPr>
          <w:b/>
        </w:rPr>
      </w:pPr>
      <w:r w:rsidRPr="00FC3772">
        <w:rPr>
          <w:b/>
        </w:rPr>
        <w:t>Vedlegg</w:t>
      </w:r>
    </w:p>
    <w:p w:rsidR="00FC3772" w:rsidRPr="00FC3772" w:rsidRDefault="007627E8" w:rsidP="00FC3772">
      <w:pPr>
        <w:tabs>
          <w:tab w:val="left" w:pos="426"/>
          <w:tab w:val="left" w:pos="2552"/>
          <w:tab w:val="left" w:leader="underscore" w:pos="9639"/>
        </w:tabs>
        <w:spacing w:after="120"/>
      </w:pPr>
      <w:r>
        <w:t>Skjema for intern varsling</w:t>
      </w:r>
      <w:r>
        <w:tab/>
      </w:r>
      <w:r>
        <w:tab/>
        <w:t>7</w:t>
      </w:r>
    </w:p>
    <w:p w:rsidR="004B7DAF" w:rsidRPr="002A5420" w:rsidRDefault="00FC3772" w:rsidP="00CB14C7">
      <w:pPr>
        <w:tabs>
          <w:tab w:val="left" w:pos="357"/>
          <w:tab w:val="left" w:pos="426"/>
          <w:tab w:val="left" w:pos="4111"/>
          <w:tab w:val="left" w:leader="underscore" w:pos="8222"/>
        </w:tabs>
        <w:spacing w:after="120"/>
        <w:rPr>
          <w:b/>
          <w:sz w:val="26"/>
        </w:rPr>
      </w:pPr>
      <w:r>
        <w:rPr>
          <w:b/>
          <w:sz w:val="26"/>
        </w:rPr>
        <w:br w:type="page"/>
      </w:r>
      <w:r w:rsidR="002A5420">
        <w:rPr>
          <w:b/>
          <w:sz w:val="26"/>
        </w:rPr>
        <w:lastRenderedPageBreak/>
        <w:t>1.</w:t>
      </w:r>
      <w:r w:rsidR="002A5420">
        <w:rPr>
          <w:b/>
          <w:sz w:val="26"/>
        </w:rPr>
        <w:tab/>
      </w:r>
      <w:r w:rsidR="004B7DAF" w:rsidRPr="002A5420">
        <w:rPr>
          <w:b/>
          <w:sz w:val="26"/>
        </w:rPr>
        <w:t>Bakgrunn</w:t>
      </w:r>
      <w:bookmarkEnd w:id="0"/>
      <w:bookmarkEnd w:id="1"/>
    </w:p>
    <w:p w:rsidR="004B7DAF" w:rsidRDefault="004B7DAF" w:rsidP="002A5420">
      <w:pPr>
        <w:tabs>
          <w:tab w:val="left" w:pos="357"/>
          <w:tab w:val="left" w:pos="426"/>
        </w:tabs>
      </w:pPr>
      <w:r>
        <w:t xml:space="preserve">Fra 1. </w:t>
      </w:r>
      <w:r w:rsidR="001211B1">
        <w:t>j</w:t>
      </w:r>
      <w:r>
        <w:t xml:space="preserve">anuar 2007 ble det innført nye regler for varsling av kritikkverdige forhold, jfr. </w:t>
      </w:r>
      <w:r w:rsidR="00AB465D">
        <w:t>a</w:t>
      </w:r>
      <w:r>
        <w:t>rbeidsmiljølovens §§</w:t>
      </w:r>
      <w:r w:rsidR="001211B1">
        <w:t xml:space="preserve"> </w:t>
      </w:r>
      <w:r>
        <w:t>2-4, 2-5, 3-6, 13-8,</w:t>
      </w:r>
      <w:r w:rsidR="001211B1">
        <w:t xml:space="preserve"> </w:t>
      </w:r>
      <w:r>
        <w:t>13-9</w:t>
      </w:r>
      <w:r w:rsidR="001211B1">
        <w:t xml:space="preserve"> og 1</w:t>
      </w:r>
      <w:r>
        <w:t>8-6.</w:t>
      </w:r>
    </w:p>
    <w:p w:rsidR="004B7DAF" w:rsidRDefault="004B7DAF" w:rsidP="002A5420">
      <w:pPr>
        <w:tabs>
          <w:tab w:val="left" w:pos="357"/>
          <w:tab w:val="left" w:pos="426"/>
        </w:tabs>
        <w:ind w:left="426" w:hanging="426"/>
      </w:pPr>
    </w:p>
    <w:p w:rsidR="00AB465D" w:rsidRDefault="00AB465D" w:rsidP="002A5420">
      <w:pPr>
        <w:tabs>
          <w:tab w:val="left" w:pos="357"/>
          <w:tab w:val="left" w:pos="426"/>
        </w:tabs>
        <w:ind w:left="426" w:hanging="426"/>
      </w:pPr>
    </w:p>
    <w:p w:rsidR="004B7DAF" w:rsidRPr="002A5420" w:rsidRDefault="002A5420" w:rsidP="002A5420">
      <w:pPr>
        <w:tabs>
          <w:tab w:val="left" w:pos="357"/>
          <w:tab w:val="left" w:pos="426"/>
        </w:tabs>
        <w:spacing w:after="120"/>
        <w:rPr>
          <w:b/>
          <w:sz w:val="26"/>
        </w:rPr>
      </w:pPr>
      <w:bookmarkStart w:id="2" w:name="_Toc209337061"/>
      <w:bookmarkStart w:id="3" w:name="_Toc209337116"/>
      <w:r w:rsidRPr="002A5420">
        <w:rPr>
          <w:b/>
          <w:sz w:val="26"/>
        </w:rPr>
        <w:t>2.</w:t>
      </w:r>
      <w:r w:rsidRPr="002A5420">
        <w:rPr>
          <w:b/>
          <w:sz w:val="26"/>
        </w:rPr>
        <w:tab/>
      </w:r>
      <w:r w:rsidR="004B7DAF" w:rsidRPr="002A5420">
        <w:rPr>
          <w:b/>
          <w:sz w:val="26"/>
        </w:rPr>
        <w:t>Formål</w:t>
      </w:r>
      <w:bookmarkEnd w:id="2"/>
      <w:bookmarkEnd w:id="3"/>
    </w:p>
    <w:p w:rsidR="004B7DAF" w:rsidRDefault="004B7DAF" w:rsidP="002A5420">
      <w:pPr>
        <w:tabs>
          <w:tab w:val="left" w:pos="357"/>
          <w:tab w:val="left" w:pos="426"/>
        </w:tabs>
      </w:pPr>
      <w:r>
        <w:t xml:space="preserve">Formålet </w:t>
      </w:r>
      <w:r w:rsidR="00E6790A">
        <w:t xml:space="preserve">med varslingsrutinene </w:t>
      </w:r>
      <w:r>
        <w:t>er å gi en veiledning for ansatte som ønsker å varsle om kritikkverdige forhold i virksomheten, samt klargjøre saksgang, rettigheter og plikter i forhold til varsleren.</w:t>
      </w:r>
    </w:p>
    <w:p w:rsidR="00E6790A" w:rsidRDefault="00E6790A" w:rsidP="002A5420">
      <w:pPr>
        <w:tabs>
          <w:tab w:val="left" w:pos="357"/>
          <w:tab w:val="left" w:pos="426"/>
        </w:tabs>
      </w:pPr>
    </w:p>
    <w:p w:rsidR="004B7DAF" w:rsidRDefault="004B7DAF" w:rsidP="002A5420">
      <w:pPr>
        <w:tabs>
          <w:tab w:val="left" w:pos="357"/>
          <w:tab w:val="left" w:pos="426"/>
        </w:tabs>
      </w:pPr>
      <w:r>
        <w:t>Formålet er også å fremheve at Meråker kommune ønsker åpenhet så langt det er mulig.</w:t>
      </w:r>
    </w:p>
    <w:p w:rsidR="004B7DAF" w:rsidRDefault="004B7DAF" w:rsidP="002A5420">
      <w:pPr>
        <w:tabs>
          <w:tab w:val="left" w:pos="357"/>
          <w:tab w:val="left" w:pos="426"/>
        </w:tabs>
        <w:ind w:left="426" w:hanging="426"/>
      </w:pPr>
    </w:p>
    <w:p w:rsidR="00AB465D" w:rsidRDefault="00AB465D" w:rsidP="002A5420">
      <w:pPr>
        <w:tabs>
          <w:tab w:val="left" w:pos="357"/>
          <w:tab w:val="left" w:pos="426"/>
        </w:tabs>
        <w:ind w:left="426" w:hanging="426"/>
      </w:pPr>
    </w:p>
    <w:p w:rsidR="004B7DAF" w:rsidRPr="002A5420" w:rsidRDefault="002A5420" w:rsidP="002A5420">
      <w:pPr>
        <w:tabs>
          <w:tab w:val="left" w:pos="357"/>
          <w:tab w:val="left" w:pos="426"/>
        </w:tabs>
        <w:spacing w:after="120"/>
        <w:rPr>
          <w:b/>
          <w:sz w:val="26"/>
        </w:rPr>
      </w:pPr>
      <w:r w:rsidRPr="002A5420">
        <w:rPr>
          <w:b/>
          <w:sz w:val="26"/>
        </w:rPr>
        <w:t>3.</w:t>
      </w:r>
      <w:r w:rsidRPr="002A5420">
        <w:rPr>
          <w:b/>
          <w:sz w:val="26"/>
        </w:rPr>
        <w:tab/>
      </w:r>
      <w:r w:rsidR="004B7DAF" w:rsidRPr="002A5420">
        <w:rPr>
          <w:b/>
          <w:sz w:val="26"/>
        </w:rPr>
        <w:t>Omfang</w:t>
      </w:r>
    </w:p>
    <w:p w:rsidR="004B7DAF" w:rsidRDefault="004B7DAF" w:rsidP="002A5420">
      <w:pPr>
        <w:tabs>
          <w:tab w:val="left" w:pos="357"/>
          <w:tab w:val="left" w:pos="426"/>
        </w:tabs>
      </w:pPr>
      <w:r w:rsidRPr="00887295">
        <w:t>Rutinen gjelder for alle ansatte i Meråker kommune.</w:t>
      </w:r>
    </w:p>
    <w:p w:rsidR="004B7DAF" w:rsidRDefault="004B7DAF" w:rsidP="002A5420">
      <w:pPr>
        <w:tabs>
          <w:tab w:val="left" w:pos="357"/>
          <w:tab w:val="left" w:pos="426"/>
        </w:tabs>
      </w:pPr>
    </w:p>
    <w:p w:rsidR="00AB465D" w:rsidRDefault="00AB465D" w:rsidP="002A5420">
      <w:pPr>
        <w:tabs>
          <w:tab w:val="left" w:pos="357"/>
          <w:tab w:val="left" w:pos="426"/>
        </w:tabs>
      </w:pPr>
    </w:p>
    <w:p w:rsidR="004B7DAF" w:rsidRPr="002A5420" w:rsidRDefault="002A5420" w:rsidP="002A5420">
      <w:pPr>
        <w:tabs>
          <w:tab w:val="left" w:pos="357"/>
          <w:tab w:val="left" w:pos="426"/>
        </w:tabs>
        <w:spacing w:after="120"/>
        <w:rPr>
          <w:b/>
          <w:sz w:val="26"/>
        </w:rPr>
      </w:pPr>
      <w:r w:rsidRPr="002A5420">
        <w:rPr>
          <w:b/>
          <w:sz w:val="26"/>
        </w:rPr>
        <w:t>4.</w:t>
      </w:r>
      <w:r w:rsidRPr="002A5420">
        <w:rPr>
          <w:b/>
          <w:sz w:val="26"/>
        </w:rPr>
        <w:tab/>
      </w:r>
      <w:r w:rsidR="004B7DAF" w:rsidRPr="002A5420">
        <w:rPr>
          <w:b/>
          <w:sz w:val="26"/>
        </w:rPr>
        <w:t>Ansvar/myndighet</w:t>
      </w:r>
    </w:p>
    <w:p w:rsidR="004B7DAF" w:rsidRDefault="004B7DAF" w:rsidP="002A5420">
      <w:pPr>
        <w:tabs>
          <w:tab w:val="left" w:pos="357"/>
          <w:tab w:val="left" w:pos="426"/>
        </w:tabs>
      </w:pPr>
      <w:r w:rsidRPr="00887295">
        <w:t xml:space="preserve">Rådmannen har det overordnede ansvar og myndighet til å utarbeide </w:t>
      </w:r>
      <w:r>
        <w:t>prosedyrer</w:t>
      </w:r>
      <w:r w:rsidRPr="00887295">
        <w:t xml:space="preserve"> samt legge forholdene til rette for varsling.</w:t>
      </w:r>
    </w:p>
    <w:p w:rsidR="004B7DAF" w:rsidRDefault="004B7DAF" w:rsidP="002A5420">
      <w:pPr>
        <w:tabs>
          <w:tab w:val="left" w:pos="357"/>
          <w:tab w:val="left" w:pos="426"/>
        </w:tabs>
        <w:ind w:left="426" w:hanging="426"/>
      </w:pPr>
    </w:p>
    <w:p w:rsidR="00AB465D" w:rsidRDefault="00AB465D" w:rsidP="002A5420">
      <w:pPr>
        <w:tabs>
          <w:tab w:val="left" w:pos="357"/>
          <w:tab w:val="left" w:pos="426"/>
        </w:tabs>
        <w:ind w:left="426" w:hanging="426"/>
      </w:pPr>
    </w:p>
    <w:p w:rsidR="004B7DAF" w:rsidRPr="002A5420" w:rsidRDefault="002A5420" w:rsidP="002A5420">
      <w:pPr>
        <w:tabs>
          <w:tab w:val="left" w:pos="357"/>
          <w:tab w:val="left" w:pos="426"/>
        </w:tabs>
        <w:spacing w:after="120"/>
        <w:rPr>
          <w:b/>
          <w:sz w:val="26"/>
        </w:rPr>
      </w:pPr>
      <w:r w:rsidRPr="002A5420">
        <w:rPr>
          <w:b/>
          <w:sz w:val="26"/>
        </w:rPr>
        <w:t>5.</w:t>
      </w:r>
      <w:r w:rsidRPr="002A5420">
        <w:rPr>
          <w:b/>
          <w:sz w:val="26"/>
        </w:rPr>
        <w:tab/>
      </w:r>
      <w:r w:rsidR="004B7DAF" w:rsidRPr="002A5420">
        <w:rPr>
          <w:b/>
          <w:sz w:val="26"/>
        </w:rPr>
        <w:t>Definisjoner</w:t>
      </w:r>
    </w:p>
    <w:p w:rsidR="004B7DAF" w:rsidRDefault="004B7DAF" w:rsidP="002A5420">
      <w:pPr>
        <w:tabs>
          <w:tab w:val="left" w:pos="357"/>
          <w:tab w:val="left" w:pos="426"/>
        </w:tabs>
      </w:pPr>
      <w:r>
        <w:t>Med varsling menes her at arbeidstaker sier ifra om kritikkverdige forhold i kommunen. Dette kan skje til nærmeste leder, verneombud, tillitsvalgt eller andre.</w:t>
      </w:r>
    </w:p>
    <w:p w:rsidR="004B7DAF" w:rsidRDefault="004B7DAF" w:rsidP="002A5420">
      <w:pPr>
        <w:tabs>
          <w:tab w:val="left" w:pos="357"/>
          <w:tab w:val="left" w:pos="426"/>
        </w:tabs>
        <w:ind w:left="426" w:hanging="426"/>
      </w:pPr>
    </w:p>
    <w:p w:rsidR="004B7DAF" w:rsidRDefault="004B7DAF" w:rsidP="002A5420">
      <w:pPr>
        <w:tabs>
          <w:tab w:val="left" w:pos="357"/>
          <w:tab w:val="left" w:pos="426"/>
        </w:tabs>
        <w:ind w:left="426" w:hanging="426"/>
        <w:rPr>
          <w:u w:val="single"/>
        </w:rPr>
      </w:pPr>
      <w:r w:rsidRPr="00887295">
        <w:rPr>
          <w:u w:val="single"/>
        </w:rPr>
        <w:t>Eksempler på kritikkverdige forhold:</w:t>
      </w:r>
    </w:p>
    <w:p w:rsidR="000555AF" w:rsidRPr="00887295" w:rsidRDefault="000555AF" w:rsidP="002A5420">
      <w:pPr>
        <w:tabs>
          <w:tab w:val="left" w:pos="357"/>
          <w:tab w:val="left" w:pos="426"/>
        </w:tabs>
        <w:ind w:left="426" w:hanging="426"/>
        <w:rPr>
          <w:u w:val="single"/>
        </w:rPr>
      </w:pPr>
    </w:p>
    <w:p w:rsidR="004B7DAF" w:rsidRDefault="004B7DAF" w:rsidP="00F57AA4">
      <w:pPr>
        <w:numPr>
          <w:ilvl w:val="0"/>
          <w:numId w:val="4"/>
        </w:numPr>
        <w:ind w:left="357" w:hanging="357"/>
      </w:pPr>
      <w:r>
        <w:t>Brudd på lov/forskrift om offentlige anskaffelser</w:t>
      </w:r>
      <w:r w:rsidR="0076553D">
        <w:t>.</w:t>
      </w:r>
    </w:p>
    <w:p w:rsidR="004B7DAF" w:rsidRDefault="004B7DAF" w:rsidP="00F57AA4">
      <w:pPr>
        <w:numPr>
          <w:ilvl w:val="0"/>
          <w:numId w:val="4"/>
        </w:numPr>
        <w:ind w:left="357" w:hanging="357"/>
      </w:pPr>
      <w:r>
        <w:t>Brudd på grunnleggende saksbehandlingsregler i forvaltningsloven, offentlighetsloven, personvernloven, arkivloven m.m.</w:t>
      </w:r>
    </w:p>
    <w:p w:rsidR="004B7DAF" w:rsidRDefault="004B7DAF" w:rsidP="00F57AA4">
      <w:pPr>
        <w:numPr>
          <w:ilvl w:val="0"/>
          <w:numId w:val="4"/>
        </w:numPr>
        <w:ind w:left="357" w:hanging="357"/>
      </w:pPr>
      <w:r>
        <w:t>Straffbare forhold, herunder korrupsjon, bedrageri, underslag og annet økonomisk mislighold.</w:t>
      </w:r>
    </w:p>
    <w:p w:rsidR="004B7DAF" w:rsidRDefault="004B7DAF" w:rsidP="00F57AA4">
      <w:pPr>
        <w:numPr>
          <w:ilvl w:val="0"/>
          <w:numId w:val="4"/>
        </w:numPr>
        <w:ind w:left="357" w:hanging="357"/>
      </w:pPr>
      <w:r>
        <w:t>Psykososiale forhold som mobbing, trakassering, diskriminering, utstøting fra arbeidslivet.</w:t>
      </w:r>
    </w:p>
    <w:p w:rsidR="004B7DAF" w:rsidRDefault="004B7DAF" w:rsidP="00F57AA4">
      <w:pPr>
        <w:numPr>
          <w:ilvl w:val="0"/>
          <w:numId w:val="4"/>
        </w:numPr>
        <w:ind w:left="357" w:hanging="357"/>
      </w:pPr>
      <w:r>
        <w:t>Mangelfull oppfølging av skader, avvik, sykdom og fravær.</w:t>
      </w:r>
    </w:p>
    <w:p w:rsidR="004B7DAF" w:rsidRDefault="004B7DAF" w:rsidP="00F57AA4">
      <w:pPr>
        <w:numPr>
          <w:ilvl w:val="0"/>
          <w:numId w:val="4"/>
        </w:numPr>
        <w:ind w:left="357" w:hanging="357"/>
      </w:pPr>
      <w:r>
        <w:t>Avvik i kvalitet og tjenestebeskrivelse.</w:t>
      </w:r>
    </w:p>
    <w:p w:rsidR="004B7DAF" w:rsidRDefault="004B7DAF" w:rsidP="00F57AA4">
      <w:pPr>
        <w:numPr>
          <w:ilvl w:val="0"/>
          <w:numId w:val="4"/>
        </w:numPr>
        <w:ind w:left="357" w:hanging="357"/>
      </w:pPr>
      <w:r>
        <w:t>Brudd på kommunens vedtatte reglementer</w:t>
      </w:r>
      <w:r w:rsidR="001211B1">
        <w:t>/bestemmelser</w:t>
      </w:r>
      <w:r>
        <w:t>.</w:t>
      </w:r>
    </w:p>
    <w:p w:rsidR="004B7DAF" w:rsidRPr="00887295" w:rsidRDefault="004B7DAF" w:rsidP="00F57AA4">
      <w:pPr>
        <w:numPr>
          <w:ilvl w:val="0"/>
          <w:numId w:val="4"/>
        </w:numPr>
        <w:ind w:left="357" w:hanging="357"/>
      </w:pPr>
      <w:r>
        <w:t>Brudd på allment aksepterte etiske normer.</w:t>
      </w:r>
    </w:p>
    <w:p w:rsidR="00EF0CD4" w:rsidRDefault="00EF0CD4" w:rsidP="002A5420">
      <w:pPr>
        <w:tabs>
          <w:tab w:val="left" w:pos="357"/>
          <w:tab w:val="left" w:pos="426"/>
        </w:tabs>
        <w:ind w:left="426" w:hanging="426"/>
      </w:pPr>
    </w:p>
    <w:p w:rsidR="00AB465D" w:rsidRDefault="00AB465D" w:rsidP="002A5420">
      <w:pPr>
        <w:tabs>
          <w:tab w:val="left" w:pos="357"/>
          <w:tab w:val="left" w:pos="426"/>
        </w:tabs>
        <w:ind w:left="426" w:hanging="426"/>
      </w:pPr>
    </w:p>
    <w:p w:rsidR="004B7DAF" w:rsidRPr="002A5420" w:rsidRDefault="002A5420" w:rsidP="002A5420">
      <w:pPr>
        <w:tabs>
          <w:tab w:val="left" w:pos="357"/>
          <w:tab w:val="left" w:pos="426"/>
        </w:tabs>
        <w:spacing w:after="120"/>
        <w:rPr>
          <w:b/>
          <w:sz w:val="26"/>
        </w:rPr>
      </w:pPr>
      <w:bookmarkStart w:id="4" w:name="_Toc209337062"/>
      <w:bookmarkStart w:id="5" w:name="_Toc209337117"/>
      <w:r w:rsidRPr="002A5420">
        <w:rPr>
          <w:b/>
          <w:sz w:val="26"/>
        </w:rPr>
        <w:t>6.</w:t>
      </w:r>
      <w:r w:rsidRPr="002A5420">
        <w:rPr>
          <w:b/>
          <w:sz w:val="26"/>
        </w:rPr>
        <w:tab/>
      </w:r>
      <w:r w:rsidR="004B7DAF" w:rsidRPr="002A5420">
        <w:rPr>
          <w:b/>
          <w:sz w:val="26"/>
        </w:rPr>
        <w:t>Framgangsmåte ved varsling</w:t>
      </w:r>
      <w:bookmarkEnd w:id="4"/>
      <w:bookmarkEnd w:id="5"/>
    </w:p>
    <w:p w:rsidR="004B7DAF" w:rsidRDefault="004B7DAF" w:rsidP="002A5420">
      <w:pPr>
        <w:tabs>
          <w:tab w:val="left" w:pos="357"/>
          <w:tab w:val="left" w:pos="426"/>
        </w:tabs>
      </w:pPr>
      <w:r>
        <w:t>Varsling kan skje både skriftlig og muntlig</w:t>
      </w:r>
      <w:r w:rsidR="006C7F64">
        <w:t>, for eksempel pr telefon, e-post, i brev eller ved personlig fremmøte</w:t>
      </w:r>
      <w:r>
        <w:t xml:space="preserve">. Varslet skal primært gis til nærmeste leder. Det kan også varsles til tillitsvalgt eller verneombud dersom arbeidstaker finner dette formålstjenlig. Dersom problemet ligger hos nærmeste leder, eller dersom leder ikke gjør noe med saken, bør vedkommendes leder varsles. Varsleren kan også henvende seg til andre, </w:t>
      </w:r>
      <w:r w:rsidR="001211B1">
        <w:t>for eksempel</w:t>
      </w:r>
      <w:r>
        <w:t xml:space="preserve"> </w:t>
      </w:r>
      <w:r w:rsidR="00F57AA4">
        <w:t>d</w:t>
      </w:r>
      <w:r>
        <w:t xml:space="preserve">atatilsynet, </w:t>
      </w:r>
      <w:r w:rsidR="00F57AA4">
        <w:t>a</w:t>
      </w:r>
      <w:r>
        <w:t>rbeidstilsynet m.v.</w:t>
      </w:r>
    </w:p>
    <w:p w:rsidR="000555AF" w:rsidRDefault="000555AF" w:rsidP="002A5420">
      <w:pPr>
        <w:tabs>
          <w:tab w:val="left" w:pos="357"/>
          <w:tab w:val="left" w:pos="426"/>
        </w:tabs>
        <w:ind w:left="426"/>
      </w:pPr>
    </w:p>
    <w:p w:rsidR="004B7DAF" w:rsidRDefault="004B7DAF" w:rsidP="002A5420">
      <w:pPr>
        <w:tabs>
          <w:tab w:val="left" w:pos="357"/>
          <w:tab w:val="left" w:pos="426"/>
        </w:tabs>
      </w:pPr>
      <w:r>
        <w:t>Det er utarbeidet et eget skjema for varsling. Det er ønskelig at varselet underskrives med navn. Da kan arbeidsgiver eventuelt innhente nødvendige opplysninger fra varsler og gi vedkommende tilbakemelding om hva som blir gjort med saken. Arbeidstaker kan likevel velge å varsle anonymt.</w:t>
      </w:r>
    </w:p>
    <w:p w:rsidR="00FD0A9F" w:rsidRDefault="00FD0A9F" w:rsidP="002A5420">
      <w:pPr>
        <w:tabs>
          <w:tab w:val="left" w:pos="357"/>
          <w:tab w:val="left" w:pos="426"/>
        </w:tabs>
        <w:ind w:left="426" w:hanging="426"/>
      </w:pPr>
    </w:p>
    <w:p w:rsidR="004B7DAF" w:rsidRDefault="00FD0A9F" w:rsidP="002A5420">
      <w:pPr>
        <w:tabs>
          <w:tab w:val="left" w:pos="357"/>
          <w:tab w:val="left" w:pos="426"/>
        </w:tabs>
      </w:pPr>
      <w:r>
        <w:t>Med anonym varslig menes varsling uten at varslerens identitet er kjent for den som mottar varslet. Anonym varsling bør bare benyttes rent unntaksvis, ettersom det vil være vanskelig for virksomheten å følge opp varslingen på en ordentlig måte. Anonym varsling kan også bidra til en uheldig belastning for arbeidsmiljøet. De som er uskyldig anklaget kan få en uberettiget mistanke hengende ved seg. På den annen side kan anonym varsling gjøre det lettere å ta opp kritikkverdige forhold dersom en ansatt ikke føler seg trygg i en varslingssituasjon.</w:t>
      </w:r>
    </w:p>
    <w:p w:rsidR="000D299E" w:rsidRDefault="000D299E" w:rsidP="002A5420">
      <w:pPr>
        <w:tabs>
          <w:tab w:val="left" w:pos="357"/>
          <w:tab w:val="left" w:pos="426"/>
        </w:tabs>
        <w:ind w:left="426" w:hanging="426"/>
      </w:pPr>
    </w:p>
    <w:p w:rsidR="001211B1" w:rsidRDefault="001211B1" w:rsidP="002A5420">
      <w:pPr>
        <w:tabs>
          <w:tab w:val="left" w:pos="357"/>
          <w:tab w:val="left" w:pos="426"/>
        </w:tabs>
      </w:pPr>
      <w:r>
        <w:t>Det oppfordres varslerne å være så presise som mulig med hensyn til sakens faktum, tid og sted, hvem som er involvert, hvem som anses for ansvarlig</w:t>
      </w:r>
      <w:r w:rsidR="006C7F64">
        <w:t>, vitner</w:t>
      </w:r>
      <w:r>
        <w:t xml:space="preserve"> osv. Dette gjelder spesielt ved anonyme varsel, da man her ikke har mulighet til å be om ytterligere opplysninger fra varsler.</w:t>
      </w:r>
    </w:p>
    <w:p w:rsidR="00FD0A9F" w:rsidRDefault="00FD0A9F" w:rsidP="002A5420">
      <w:pPr>
        <w:tabs>
          <w:tab w:val="left" w:pos="357"/>
          <w:tab w:val="left" w:pos="426"/>
        </w:tabs>
        <w:ind w:left="426" w:hanging="426"/>
      </w:pPr>
    </w:p>
    <w:p w:rsidR="000555AF" w:rsidRDefault="000555AF" w:rsidP="002A5420">
      <w:pPr>
        <w:tabs>
          <w:tab w:val="left" w:pos="357"/>
          <w:tab w:val="left" w:pos="426"/>
        </w:tabs>
        <w:ind w:left="426" w:hanging="426"/>
      </w:pPr>
    </w:p>
    <w:p w:rsidR="004B7DAF" w:rsidRPr="002A5420" w:rsidRDefault="002A5420" w:rsidP="002A5420">
      <w:pPr>
        <w:tabs>
          <w:tab w:val="left" w:pos="357"/>
          <w:tab w:val="left" w:pos="426"/>
        </w:tabs>
        <w:spacing w:after="120"/>
        <w:rPr>
          <w:b/>
          <w:sz w:val="26"/>
        </w:rPr>
      </w:pPr>
      <w:bookmarkStart w:id="6" w:name="_Toc209337063"/>
      <w:bookmarkStart w:id="7" w:name="_Toc209337118"/>
      <w:r w:rsidRPr="002A5420">
        <w:rPr>
          <w:b/>
          <w:sz w:val="26"/>
        </w:rPr>
        <w:t>7.</w:t>
      </w:r>
      <w:r w:rsidRPr="002A5420">
        <w:rPr>
          <w:b/>
          <w:sz w:val="26"/>
        </w:rPr>
        <w:tab/>
      </w:r>
      <w:r w:rsidR="004B7DAF" w:rsidRPr="002A5420">
        <w:rPr>
          <w:b/>
          <w:sz w:val="26"/>
        </w:rPr>
        <w:t>Plikt til å varsle</w:t>
      </w:r>
      <w:bookmarkEnd w:id="6"/>
      <w:bookmarkEnd w:id="7"/>
    </w:p>
    <w:p w:rsidR="004B7DAF" w:rsidRDefault="004B7DAF" w:rsidP="002A5420">
      <w:pPr>
        <w:tabs>
          <w:tab w:val="left" w:pos="357"/>
          <w:tab w:val="left" w:pos="426"/>
        </w:tabs>
        <w:ind w:left="426" w:hanging="426"/>
      </w:pPr>
      <w:r>
        <w:t xml:space="preserve">Arbeidstakere har i noen tilfeller plikt til å varsle. </w:t>
      </w:r>
    </w:p>
    <w:p w:rsidR="000555AF" w:rsidRDefault="000555AF" w:rsidP="002A5420">
      <w:pPr>
        <w:tabs>
          <w:tab w:val="left" w:pos="357"/>
          <w:tab w:val="left" w:pos="426"/>
        </w:tabs>
        <w:ind w:left="426" w:hanging="426"/>
      </w:pPr>
    </w:p>
    <w:p w:rsidR="004B7DAF" w:rsidRDefault="004B7DAF" w:rsidP="002A5420">
      <w:pPr>
        <w:tabs>
          <w:tab w:val="left" w:pos="357"/>
          <w:tab w:val="left" w:pos="426"/>
        </w:tabs>
        <w:ind w:left="426" w:hanging="426"/>
        <w:rPr>
          <w:u w:val="single"/>
        </w:rPr>
      </w:pPr>
      <w:r w:rsidRPr="001D3210">
        <w:rPr>
          <w:u w:val="single"/>
        </w:rPr>
        <w:t>Se for eksempel:</w:t>
      </w:r>
    </w:p>
    <w:p w:rsidR="006C7F64" w:rsidRPr="001D3210" w:rsidRDefault="006C7F64" w:rsidP="002A5420">
      <w:pPr>
        <w:tabs>
          <w:tab w:val="left" w:pos="357"/>
          <w:tab w:val="left" w:pos="426"/>
        </w:tabs>
        <w:ind w:left="426" w:hanging="426"/>
        <w:rPr>
          <w:u w:val="single"/>
        </w:rPr>
      </w:pPr>
    </w:p>
    <w:p w:rsidR="004B7DAF" w:rsidRDefault="004B7DAF" w:rsidP="00F57AA4">
      <w:pPr>
        <w:numPr>
          <w:ilvl w:val="0"/>
          <w:numId w:val="5"/>
        </w:numPr>
        <w:ind w:left="357" w:hanging="357"/>
      </w:pPr>
      <w:r>
        <w:t>Arbeidsmiljølovens §</w:t>
      </w:r>
      <w:r w:rsidR="006973BD">
        <w:t xml:space="preserve"> </w:t>
      </w:r>
      <w:r>
        <w:t>2-3 (2) bokstav b, d og e som omhandler plikt til å varsle om feil eller mangler som kan medføre fare for liv og helse, trakassering og mobbing på arbeidsplassen og sykdom relatert til arbeidet eller forholdene på arbeidsplassen.</w:t>
      </w:r>
    </w:p>
    <w:p w:rsidR="004B7DAF" w:rsidRDefault="004B7DAF" w:rsidP="00F57AA4">
      <w:pPr>
        <w:numPr>
          <w:ilvl w:val="0"/>
          <w:numId w:val="5"/>
        </w:numPr>
        <w:ind w:left="357" w:hanging="357"/>
      </w:pPr>
      <w:r>
        <w:t>Arbeidsmiljølovens §</w:t>
      </w:r>
      <w:r w:rsidR="006973BD">
        <w:t xml:space="preserve"> </w:t>
      </w:r>
      <w:r>
        <w:t>6-2 (3) om verneombudets særskilte varslingsplikt.</w:t>
      </w:r>
    </w:p>
    <w:p w:rsidR="004B7DAF" w:rsidRDefault="004B7DAF" w:rsidP="00F57AA4">
      <w:pPr>
        <w:numPr>
          <w:ilvl w:val="0"/>
          <w:numId w:val="5"/>
        </w:numPr>
        <w:ind w:left="357" w:hanging="357"/>
      </w:pPr>
      <w:r>
        <w:t>Helsepersonalloven § 17 om plikt til å melde fra til tilsynsmyndighet om forhold som kan medføre fare for pasienters sikkerhet.</w:t>
      </w:r>
    </w:p>
    <w:p w:rsidR="004B7DAF" w:rsidRDefault="004B7DAF" w:rsidP="002A5420">
      <w:pPr>
        <w:tabs>
          <w:tab w:val="left" w:pos="357"/>
          <w:tab w:val="left" w:pos="426"/>
        </w:tabs>
        <w:ind w:left="426" w:hanging="426"/>
      </w:pPr>
    </w:p>
    <w:p w:rsidR="000555AF" w:rsidRDefault="000555AF" w:rsidP="002A5420">
      <w:pPr>
        <w:tabs>
          <w:tab w:val="left" w:pos="357"/>
          <w:tab w:val="left" w:pos="426"/>
        </w:tabs>
        <w:ind w:left="426" w:hanging="426"/>
      </w:pPr>
    </w:p>
    <w:p w:rsidR="004B7DAF" w:rsidRPr="002A5420" w:rsidRDefault="002A5420" w:rsidP="002A5420">
      <w:pPr>
        <w:tabs>
          <w:tab w:val="left" w:pos="357"/>
          <w:tab w:val="left" w:pos="426"/>
        </w:tabs>
        <w:spacing w:after="120"/>
        <w:rPr>
          <w:b/>
          <w:sz w:val="26"/>
        </w:rPr>
      </w:pPr>
      <w:bookmarkStart w:id="8" w:name="_Toc209337064"/>
      <w:bookmarkStart w:id="9" w:name="_Toc209337119"/>
      <w:r w:rsidRPr="002A5420">
        <w:rPr>
          <w:b/>
          <w:sz w:val="26"/>
        </w:rPr>
        <w:t>8.</w:t>
      </w:r>
      <w:r w:rsidRPr="002A5420">
        <w:rPr>
          <w:b/>
          <w:sz w:val="26"/>
        </w:rPr>
        <w:tab/>
      </w:r>
      <w:r w:rsidR="004B7DAF" w:rsidRPr="002A5420">
        <w:rPr>
          <w:b/>
          <w:sz w:val="26"/>
        </w:rPr>
        <w:t>Forsvarlig varsling</w:t>
      </w:r>
    </w:p>
    <w:p w:rsidR="001211B1" w:rsidRDefault="004B7DAF" w:rsidP="002A5420">
      <w:pPr>
        <w:tabs>
          <w:tab w:val="left" w:pos="357"/>
          <w:tab w:val="left" w:pos="426"/>
        </w:tabs>
      </w:pPr>
      <w:r>
        <w:t>Arbeidstaker har i utgangspunktet en rett til å varsle om kritikkverdige forhold, men skal foreta en slik varsling på en forsvarlig måte. Dette innebærer at det stilles visse krav til måten det varsles på.</w:t>
      </w:r>
      <w:r w:rsidR="001211B1">
        <w:t xml:space="preserve"> </w:t>
      </w:r>
    </w:p>
    <w:p w:rsidR="001211B1" w:rsidRDefault="001211B1" w:rsidP="002A5420">
      <w:pPr>
        <w:tabs>
          <w:tab w:val="left" w:pos="357"/>
          <w:tab w:val="left" w:pos="426"/>
        </w:tabs>
      </w:pPr>
    </w:p>
    <w:p w:rsidR="004B7DAF" w:rsidRDefault="004B7DAF" w:rsidP="002A5420">
      <w:pPr>
        <w:tabs>
          <w:tab w:val="left" w:pos="357"/>
          <w:tab w:val="left" w:pos="426"/>
        </w:tabs>
      </w:pPr>
      <w:r>
        <w:t>Forsvarlig varsling beror på en konkret og skjønnsmessig helhetsvurdering</w:t>
      </w:r>
      <w:r w:rsidR="001211B1">
        <w:t xml:space="preserve">. </w:t>
      </w:r>
      <w:r>
        <w:t>Vurderingstemaet vil i hovedsak være om arbeidstaker har saklig grunnlag for kritikken og om arbeidstaker har tatt tilbørlig hensyn til arbeidsgivers og virksomhetens legitime interesser med hensyn til måten det varsles på.</w:t>
      </w:r>
    </w:p>
    <w:p w:rsidR="009009A0" w:rsidRDefault="009009A0" w:rsidP="002A5420">
      <w:pPr>
        <w:tabs>
          <w:tab w:val="left" w:pos="357"/>
          <w:tab w:val="left" w:pos="426"/>
        </w:tabs>
        <w:ind w:left="426"/>
      </w:pPr>
    </w:p>
    <w:p w:rsidR="009009A0" w:rsidRPr="00F57AA4" w:rsidRDefault="009009A0" w:rsidP="002A5420">
      <w:pPr>
        <w:tabs>
          <w:tab w:val="left" w:pos="357"/>
          <w:tab w:val="left" w:pos="426"/>
        </w:tabs>
        <w:rPr>
          <w:b/>
        </w:rPr>
      </w:pPr>
      <w:r w:rsidRPr="00F57AA4">
        <w:rPr>
          <w:b/>
        </w:rPr>
        <w:t>Intern varsling</w:t>
      </w:r>
    </w:p>
    <w:p w:rsidR="009009A0" w:rsidRDefault="009009A0" w:rsidP="002A5420">
      <w:pPr>
        <w:tabs>
          <w:tab w:val="left" w:pos="357"/>
          <w:tab w:val="left" w:pos="426"/>
        </w:tabs>
      </w:pPr>
      <w:r>
        <w:t>Arbeidstaker som går tjenestevei eller sier fra til andre i virksomheten som har ansvar eller påvirkningsmulighet i forhold til det spørsmålet gjelder, vil opptre i samsvar med loven. Det innebærer blant annet at det ikke skal varsles på en måte som er trakasserende, unødig sårende eller belastende for enkeltpersoner eller arbeidsmiljøet, eller at man mot bedre vitende fremmer grunnløse påstander.</w:t>
      </w:r>
    </w:p>
    <w:p w:rsidR="009009A0" w:rsidRDefault="009009A0" w:rsidP="002A5420">
      <w:pPr>
        <w:tabs>
          <w:tab w:val="left" w:pos="357"/>
          <w:tab w:val="left" w:pos="426"/>
        </w:tabs>
      </w:pPr>
    </w:p>
    <w:p w:rsidR="009009A0" w:rsidRPr="00F57AA4" w:rsidRDefault="009009A0" w:rsidP="002A5420">
      <w:pPr>
        <w:tabs>
          <w:tab w:val="left" w:pos="357"/>
          <w:tab w:val="left" w:pos="426"/>
        </w:tabs>
        <w:rPr>
          <w:b/>
        </w:rPr>
      </w:pPr>
      <w:r w:rsidRPr="00F57AA4">
        <w:rPr>
          <w:b/>
        </w:rPr>
        <w:t>Ekstern varsling</w:t>
      </w:r>
    </w:p>
    <w:p w:rsidR="009009A0" w:rsidRDefault="009009A0" w:rsidP="002A5420">
      <w:pPr>
        <w:tabs>
          <w:tab w:val="left" w:pos="357"/>
          <w:tab w:val="left" w:pos="426"/>
        </w:tabs>
      </w:pPr>
      <w:r>
        <w:t>Arbeidstaker vil alltid ha rett til å varsle i samsvar med plikt som følger av lov, forskri</w:t>
      </w:r>
      <w:r w:rsidR="001211B1">
        <w:t>ft, avtale, instruks med videre til offentlige organer med tilsyns- eller kontrollmyndighet</w:t>
      </w:r>
      <w:r w:rsidR="00F57AA4">
        <w:t>.</w:t>
      </w:r>
    </w:p>
    <w:p w:rsidR="009009A0" w:rsidRDefault="009009A0" w:rsidP="002A5420">
      <w:pPr>
        <w:tabs>
          <w:tab w:val="left" w:pos="357"/>
          <w:tab w:val="left" w:pos="426"/>
        </w:tabs>
      </w:pPr>
    </w:p>
    <w:p w:rsidR="009009A0" w:rsidRPr="00F57AA4" w:rsidRDefault="009009A0" w:rsidP="002A5420">
      <w:pPr>
        <w:tabs>
          <w:tab w:val="left" w:pos="357"/>
          <w:tab w:val="left" w:pos="426"/>
        </w:tabs>
        <w:rPr>
          <w:b/>
        </w:rPr>
      </w:pPr>
      <w:r w:rsidRPr="00F57AA4">
        <w:rPr>
          <w:b/>
        </w:rPr>
        <w:t>Varsling til allmennheten</w:t>
      </w:r>
    </w:p>
    <w:p w:rsidR="009009A0" w:rsidRDefault="009009A0" w:rsidP="002A5420">
      <w:pPr>
        <w:tabs>
          <w:tab w:val="left" w:pos="357"/>
          <w:tab w:val="left" w:pos="426"/>
        </w:tabs>
      </w:pPr>
      <w:r>
        <w:t>Arbeidstaker som varsler nyhetsmedia, blogger eller tar kontakt med lignende medium, bør som utgangspunkt først</w:t>
      </w:r>
      <w:r w:rsidR="00096E73">
        <w:t xml:space="preserve"> ha forsøkt å varsle internt i virksomheten, til overordnet myndighet eller til tilsyns- eller kontrollmyndigheter. Muligheten for å påføre virksomheten og/eller ansatte skade er vanligvis mye større ved varsling til allmennheten. Terskelen for varsling til allmennheten er derfor </w:t>
      </w:r>
      <w:r w:rsidR="00096E73">
        <w:lastRenderedPageBreak/>
        <w:t>høyere enn ved intern og ekstern varsling. Den ansatte bør derfor vurdere følgende tre forhold spesielt nøye ved var</w:t>
      </w:r>
      <w:r w:rsidR="00F57AA4">
        <w:t>s</w:t>
      </w:r>
      <w:r w:rsidR="00096E73">
        <w:t>ling til allmennheten:</w:t>
      </w:r>
    </w:p>
    <w:p w:rsidR="00096E73" w:rsidRDefault="00096E73" w:rsidP="002A5420">
      <w:pPr>
        <w:tabs>
          <w:tab w:val="left" w:pos="357"/>
          <w:tab w:val="left" w:pos="426"/>
        </w:tabs>
      </w:pPr>
    </w:p>
    <w:p w:rsidR="00096E73" w:rsidRDefault="00096E73" w:rsidP="00F57AA4">
      <w:pPr>
        <w:numPr>
          <w:ilvl w:val="0"/>
          <w:numId w:val="3"/>
        </w:numPr>
        <w:ind w:left="357" w:hanging="357"/>
      </w:pPr>
      <w:r>
        <w:t>Er det grunn til å tro at det faktisk foreligger kritikkverdige forhold? Varsler bør undersøke de faktiske omstendighetene så grundig det lar seg gjøre.</w:t>
      </w:r>
    </w:p>
    <w:p w:rsidR="00096E73" w:rsidRDefault="00096E73" w:rsidP="00F57AA4">
      <w:pPr>
        <w:numPr>
          <w:ilvl w:val="0"/>
          <w:numId w:val="3"/>
        </w:numPr>
        <w:ind w:left="357" w:hanging="357"/>
      </w:pPr>
      <w:r>
        <w:t>Vurdere om intern varsling, varsling til overordnet myndighet eller varsling til offentlig tilsyns- eller kontrollmyndigheter er mulig eller hensiktsmessig.</w:t>
      </w:r>
    </w:p>
    <w:p w:rsidR="00096E73" w:rsidRPr="009009A0" w:rsidRDefault="00096E73" w:rsidP="00F57AA4">
      <w:pPr>
        <w:numPr>
          <w:ilvl w:val="0"/>
          <w:numId w:val="3"/>
        </w:numPr>
        <w:ind w:left="357" w:hanging="357"/>
      </w:pPr>
      <w:r>
        <w:t>Vurdere om andre utenfor virksomheten har en berettiget interesse i å få vite om forholdene.</w:t>
      </w:r>
    </w:p>
    <w:p w:rsidR="009009A0" w:rsidRDefault="009009A0" w:rsidP="002A5420">
      <w:pPr>
        <w:tabs>
          <w:tab w:val="left" w:pos="357"/>
          <w:tab w:val="left" w:pos="426"/>
        </w:tabs>
      </w:pPr>
    </w:p>
    <w:p w:rsidR="00461FAB" w:rsidRDefault="00461FAB" w:rsidP="002A5420">
      <w:pPr>
        <w:tabs>
          <w:tab w:val="left" w:pos="357"/>
          <w:tab w:val="left" w:pos="426"/>
        </w:tabs>
      </w:pPr>
      <w:r>
        <w:t>Forsvarlig varsling skal ikke gjengjeldes. Gjengjeldelse mot arbeidstaker som varsler i samsvar med arbeidsmiljølovens bestemmelser er forbudt. Det betyr at arbeidsgiver ikke kan reagere på forsvarlig varsling med oppsigelse, avskjed, suspensjon, ordenstraff, trakassering, utstøtning</w:t>
      </w:r>
      <w:r w:rsidR="00F57AA4">
        <w:t>,</w:t>
      </w:r>
      <w:r>
        <w:t xml:space="preserve"> </w:t>
      </w:r>
      <w:r w:rsidR="00F57AA4">
        <w:t>f</w:t>
      </w:r>
      <w:r>
        <w:t>ratakelse av arbeidsoppgaver eller andre negative reaksjoner som innebærer straff eller sanksjon. Arbeidstaker må likevel tåle saklig motargumenter eller motbevis knyttet til de kritikkverdige forholdene.</w:t>
      </w:r>
    </w:p>
    <w:p w:rsidR="00461FAB" w:rsidRDefault="00461FAB" w:rsidP="002A5420">
      <w:pPr>
        <w:tabs>
          <w:tab w:val="left" w:pos="357"/>
          <w:tab w:val="left" w:pos="426"/>
        </w:tabs>
      </w:pPr>
    </w:p>
    <w:p w:rsidR="004B7DAF" w:rsidRDefault="000A0F1A" w:rsidP="002A5420">
      <w:pPr>
        <w:tabs>
          <w:tab w:val="left" w:pos="357"/>
          <w:tab w:val="left" w:pos="426"/>
        </w:tabs>
      </w:pPr>
      <w:r>
        <w:t xml:space="preserve">Hvis fremgangsmåten ved varsling ikke er forsvarlig, er den ansatte ikke vernet av forbudet mot gjengjeldelse. </w:t>
      </w:r>
      <w:r w:rsidR="004B7DAF">
        <w:t>Arbeidsgiver har bevisbyrden for at varsling har skjedd i strid med bestemmelsene i AML §</w:t>
      </w:r>
      <w:r w:rsidR="00461FAB">
        <w:t xml:space="preserve"> </w:t>
      </w:r>
      <w:r w:rsidR="004B7DAF">
        <w:t>2-4, punkt 3.</w:t>
      </w:r>
    </w:p>
    <w:p w:rsidR="00FD0A9F" w:rsidRDefault="00FD0A9F" w:rsidP="002A5420">
      <w:pPr>
        <w:tabs>
          <w:tab w:val="left" w:pos="357"/>
          <w:tab w:val="left" w:pos="426"/>
        </w:tabs>
      </w:pPr>
    </w:p>
    <w:p w:rsidR="000555AF" w:rsidRDefault="000555AF" w:rsidP="002A5420">
      <w:pPr>
        <w:tabs>
          <w:tab w:val="left" w:pos="357"/>
          <w:tab w:val="left" w:pos="426"/>
        </w:tabs>
      </w:pPr>
    </w:p>
    <w:p w:rsidR="004B7DAF" w:rsidRPr="002A5420" w:rsidRDefault="002A5420" w:rsidP="002A5420">
      <w:pPr>
        <w:tabs>
          <w:tab w:val="left" w:pos="357"/>
          <w:tab w:val="left" w:pos="426"/>
        </w:tabs>
        <w:spacing w:after="120"/>
        <w:rPr>
          <w:b/>
          <w:sz w:val="26"/>
        </w:rPr>
      </w:pPr>
      <w:r w:rsidRPr="002A5420">
        <w:rPr>
          <w:b/>
          <w:sz w:val="26"/>
        </w:rPr>
        <w:t>9.</w:t>
      </w:r>
      <w:r w:rsidRPr="002A5420">
        <w:rPr>
          <w:b/>
          <w:sz w:val="26"/>
        </w:rPr>
        <w:tab/>
      </w:r>
      <w:r w:rsidR="004B7DAF" w:rsidRPr="002A5420">
        <w:rPr>
          <w:b/>
          <w:sz w:val="26"/>
        </w:rPr>
        <w:t>Oppfølging av varsling</w:t>
      </w:r>
      <w:bookmarkEnd w:id="8"/>
      <w:bookmarkEnd w:id="9"/>
    </w:p>
    <w:p w:rsidR="00787576" w:rsidRDefault="00787576" w:rsidP="00787576">
      <w:pPr>
        <w:tabs>
          <w:tab w:val="left" w:pos="357"/>
          <w:tab w:val="left" w:pos="426"/>
        </w:tabs>
      </w:pPr>
      <w:r>
        <w:t>Den som mottar varselet skal så raskt som mulig vurdere innholdet i varslet, orientere personalleder om varselet og dets innhold, og det skal besluttes på hvilket nivå saken skal håndteres videre.</w:t>
      </w:r>
    </w:p>
    <w:p w:rsidR="00787576" w:rsidRDefault="00787576" w:rsidP="002A5420">
      <w:pPr>
        <w:tabs>
          <w:tab w:val="left" w:pos="357"/>
          <w:tab w:val="left" w:pos="426"/>
        </w:tabs>
      </w:pPr>
    </w:p>
    <w:p w:rsidR="004B7DAF" w:rsidRDefault="00787576" w:rsidP="002A5420">
      <w:pPr>
        <w:tabs>
          <w:tab w:val="left" w:pos="357"/>
          <w:tab w:val="left" w:pos="426"/>
        </w:tabs>
      </w:pPr>
      <w:r>
        <w:t xml:space="preserve">Lederen har ansvar for å ivareta arbeidstaker som har varslet og om nødvendig igangsette tiltak for å sikre dette. </w:t>
      </w:r>
      <w:r w:rsidR="004B7DAF">
        <w:t>Varslers identitet bør så langt som mulig behandles som en fortrolig opplysning. Dette innebærer at varslerens identitet ikke avsløres for den det varsles om, ledelsen eller kolleger dersom dette ikke er nø</w:t>
      </w:r>
      <w:r>
        <w:t>dvendig for sakens opplysninger, herunder berørte personers mulighet til å imøtegå anklager rettet mot dem.</w:t>
      </w:r>
    </w:p>
    <w:p w:rsidR="00787576" w:rsidRDefault="00787576" w:rsidP="002A5420">
      <w:pPr>
        <w:tabs>
          <w:tab w:val="left" w:pos="357"/>
          <w:tab w:val="left" w:pos="426"/>
        </w:tabs>
      </w:pPr>
    </w:p>
    <w:p w:rsidR="00461FAB" w:rsidRDefault="00787576" w:rsidP="002A5420">
      <w:pPr>
        <w:tabs>
          <w:tab w:val="left" w:pos="357"/>
          <w:tab w:val="left" w:pos="426"/>
        </w:tabs>
      </w:pPr>
      <w:r>
        <w:t>Den som mottar varselet er, evt. i samråd med sine overordnede, ansvarlig for sakens avgjørelser. Motta</w:t>
      </w:r>
      <w:r w:rsidR="003A63BA">
        <w:t>ke</w:t>
      </w:r>
      <w:r>
        <w:t>r av varslet skal, hvis det er hensiktsmessig og/eller nødvendig, trekke inn tillitsvalgte og/eller verneombud. Det vil være hensiktsmessig å involvere færrest mulig personer i saken. Alle de som medvirker ved behandling av saken, vil være underlagt taushetsplikt etter forvaltningslovens regler.</w:t>
      </w:r>
    </w:p>
    <w:p w:rsidR="00822A54" w:rsidRDefault="00822A54" w:rsidP="002A5420">
      <w:pPr>
        <w:tabs>
          <w:tab w:val="left" w:pos="357"/>
          <w:tab w:val="left" w:pos="426"/>
        </w:tabs>
      </w:pPr>
    </w:p>
    <w:p w:rsidR="00822A54" w:rsidRDefault="00822A54" w:rsidP="002A5420">
      <w:pPr>
        <w:tabs>
          <w:tab w:val="left" w:pos="357"/>
          <w:tab w:val="left" w:pos="426"/>
        </w:tabs>
      </w:pPr>
      <w:r>
        <w:t>Den som mottar varselet informerer varsleren skriftlig om videre saksgang. Denne informasjonen skal synliggjøre rettighetene både til den som varsler, og den varselet er rettet mot.</w:t>
      </w:r>
    </w:p>
    <w:p w:rsidR="00822A54" w:rsidRDefault="00822A54" w:rsidP="002A5420">
      <w:pPr>
        <w:tabs>
          <w:tab w:val="left" w:pos="357"/>
          <w:tab w:val="left" w:pos="426"/>
        </w:tabs>
      </w:pPr>
    </w:p>
    <w:p w:rsidR="00822A54" w:rsidRDefault="00822A54" w:rsidP="002A5420">
      <w:pPr>
        <w:tabs>
          <w:tab w:val="left" w:pos="357"/>
          <w:tab w:val="left" w:pos="426"/>
        </w:tabs>
      </w:pPr>
      <w:r>
        <w:t>Den som mottar varselet bør så raskt som mulig informere varsleren om hva som er skjedd med saken. Varsler skal gjøres oppmerksom på at resultatet av en videre granskning kan være av konfidensiell art, at arbeidsgiver dermed i enkelte tilfeller ikke kan opplyse om resultatet av varslingen.</w:t>
      </w:r>
    </w:p>
    <w:p w:rsidR="00822A54" w:rsidRDefault="00822A54" w:rsidP="002A5420">
      <w:pPr>
        <w:tabs>
          <w:tab w:val="left" w:pos="357"/>
          <w:tab w:val="left" w:pos="426"/>
        </w:tabs>
      </w:pPr>
    </w:p>
    <w:p w:rsidR="00822A54" w:rsidRDefault="00822A54" w:rsidP="002A5420">
      <w:pPr>
        <w:tabs>
          <w:tab w:val="left" w:pos="357"/>
          <w:tab w:val="left" w:pos="426"/>
        </w:tabs>
      </w:pPr>
      <w:r>
        <w:t>Den som mottar varselet har videre ansvaret for å sikre at det tas kontakt med tilsynsmyndighet eller annen offentlig myndighet dersom dette er nødvendig.</w:t>
      </w:r>
    </w:p>
    <w:p w:rsidR="00822A54" w:rsidRDefault="00822A54" w:rsidP="002A5420">
      <w:pPr>
        <w:tabs>
          <w:tab w:val="left" w:pos="357"/>
          <w:tab w:val="left" w:pos="426"/>
        </w:tabs>
      </w:pPr>
    </w:p>
    <w:p w:rsidR="00822A54" w:rsidRDefault="00822A54" w:rsidP="002A5420">
      <w:pPr>
        <w:tabs>
          <w:tab w:val="left" w:pos="357"/>
          <w:tab w:val="left" w:pos="426"/>
        </w:tabs>
      </w:pPr>
      <w:r>
        <w:t>Ledelsen skal vurdere om, når og på hvilken måte det skal informeres om innhold i og/eller resultatet av varslingen. Dette må vurderes konkret i det enkelte tilfelle, bl.a. ut fra effekten av å informere og hensynet til arbeidsmiljø og personvernspørsmål.</w:t>
      </w:r>
    </w:p>
    <w:p w:rsidR="00484634" w:rsidRPr="002A5420" w:rsidRDefault="00822A54" w:rsidP="00502DCA">
      <w:pPr>
        <w:tabs>
          <w:tab w:val="left" w:pos="357"/>
          <w:tab w:val="left" w:pos="426"/>
        </w:tabs>
        <w:spacing w:after="120"/>
        <w:rPr>
          <w:b/>
          <w:sz w:val="26"/>
        </w:rPr>
      </w:pPr>
      <w:r>
        <w:br w:type="page"/>
      </w:r>
      <w:r w:rsidR="002A5420" w:rsidRPr="002A5420">
        <w:rPr>
          <w:b/>
          <w:sz w:val="26"/>
        </w:rPr>
        <w:lastRenderedPageBreak/>
        <w:t>10.</w:t>
      </w:r>
      <w:r w:rsidR="002A5420" w:rsidRPr="002A5420">
        <w:rPr>
          <w:b/>
          <w:sz w:val="26"/>
        </w:rPr>
        <w:tab/>
      </w:r>
      <w:r w:rsidR="00A11539" w:rsidRPr="002A5420">
        <w:rPr>
          <w:b/>
          <w:sz w:val="26"/>
        </w:rPr>
        <w:t>Taushetsplikt</w:t>
      </w:r>
    </w:p>
    <w:p w:rsidR="006C7F64" w:rsidRDefault="00484634" w:rsidP="002A5420">
      <w:pPr>
        <w:tabs>
          <w:tab w:val="left" w:pos="357"/>
          <w:tab w:val="left" w:pos="426"/>
        </w:tabs>
      </w:pPr>
      <w:r>
        <w:t>Forvaltningsloven § 13 første ledd nr 1 pålegger taushetsplikt om noens personlige forhold. Som ”personlige” forhold regnes blant annet opplysninger om fysisk og psykisk helse, karakter og følelsesliv og visse opplysninger om familie- og hjemforhold. Derimot vil opplysninger om straffbare handlinger eller andre lovbrudd begått i nærings- eller forretningsforhold, som utgangspunkt ikke være omfattet av taushetspliktreglene. Opplysninger om at det er begått lovbrudd eller andre misligheter i tjenesten og hva dette består i, vil dermed som utgangspunkt ikke være belagt med taushetsplikt. Mer detaljerte opplysninger om forholdet kan likevel være taushetsbelagte, for eksempel opplysninger om sykdom, sosiale eller personlig problemer.</w:t>
      </w:r>
    </w:p>
    <w:p w:rsidR="006C7F64" w:rsidRDefault="006C7F64" w:rsidP="002A5420">
      <w:pPr>
        <w:tabs>
          <w:tab w:val="left" w:pos="357"/>
          <w:tab w:val="left" w:pos="426"/>
        </w:tabs>
      </w:pPr>
    </w:p>
    <w:p w:rsidR="00FD6E69" w:rsidRDefault="006C7F64" w:rsidP="002A5420">
      <w:pPr>
        <w:tabs>
          <w:tab w:val="left" w:pos="357"/>
          <w:tab w:val="left" w:pos="426"/>
        </w:tabs>
      </w:pPr>
      <w:r>
        <w:t>Spørsmål om innsyn er regulert i bl.a. offentlighetsloven, forvaltningsloven, personopplysningsloven m.m.</w:t>
      </w:r>
    </w:p>
    <w:p w:rsidR="004B7DAF" w:rsidRPr="00FD6E69" w:rsidRDefault="004B7DAF" w:rsidP="002575FC">
      <w:pPr>
        <w:jc w:val="center"/>
        <w:rPr>
          <w:b/>
          <w:sz w:val="36"/>
          <w:szCs w:val="36"/>
        </w:rPr>
      </w:pPr>
      <w:r w:rsidRPr="00A11539">
        <w:rPr>
          <w:b/>
          <w:sz w:val="28"/>
        </w:rPr>
        <w:br w:type="page"/>
      </w:r>
      <w:r w:rsidRPr="00FD6E69">
        <w:rPr>
          <w:b/>
          <w:sz w:val="36"/>
          <w:szCs w:val="36"/>
        </w:rPr>
        <w:lastRenderedPageBreak/>
        <w:t xml:space="preserve">Skjema for </w:t>
      </w:r>
      <w:r w:rsidR="00FD6E69">
        <w:rPr>
          <w:b/>
          <w:sz w:val="36"/>
          <w:szCs w:val="36"/>
        </w:rPr>
        <w:t xml:space="preserve">intern </w:t>
      </w:r>
      <w:r w:rsidRPr="00FD6E69">
        <w:rPr>
          <w:b/>
          <w:sz w:val="36"/>
          <w:szCs w:val="36"/>
        </w:rPr>
        <w:t>varsling</w:t>
      </w:r>
    </w:p>
    <w:p w:rsidR="00FD6E69" w:rsidRPr="00434327" w:rsidRDefault="00FD6E69" w:rsidP="0058058C">
      <w:pPr>
        <w:rPr>
          <w:sz w:val="40"/>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CA6316" w:rsidTr="00CA6316">
        <w:tc>
          <w:tcPr>
            <w:tcW w:w="9778" w:type="dxa"/>
          </w:tcPr>
          <w:p w:rsidR="00CA6316" w:rsidRPr="00CA6316" w:rsidRDefault="00CA6316" w:rsidP="004B7DAF">
            <w:pPr>
              <w:rPr>
                <w:sz w:val="8"/>
              </w:rPr>
            </w:pPr>
          </w:p>
          <w:p w:rsidR="00CA6316" w:rsidRPr="00CA6316" w:rsidRDefault="00CA6316" w:rsidP="004B7DAF">
            <w:pPr>
              <w:rPr>
                <w:sz w:val="18"/>
              </w:rPr>
            </w:pPr>
            <w:r w:rsidRPr="00CA6316">
              <w:rPr>
                <w:sz w:val="18"/>
              </w:rPr>
              <w:t>Jeg vil varsle om følgende kritikkverdige forhold:</w:t>
            </w:r>
          </w:p>
          <w:p w:rsidR="00A93010" w:rsidRDefault="00A93010" w:rsidP="002575FC">
            <w:pPr>
              <w:rPr>
                <w:sz w:val="20"/>
              </w:rPr>
            </w:pPr>
          </w:p>
          <w:p w:rsidR="002575FC" w:rsidRDefault="002575FC" w:rsidP="002575FC">
            <w:pPr>
              <w:rPr>
                <w:sz w:val="20"/>
              </w:rPr>
            </w:pPr>
            <w:r>
              <w:rPr>
                <w:sz w:val="20"/>
              </w:rPr>
              <w:t>……………………………………………………………………………………………………………………………...</w:t>
            </w:r>
          </w:p>
          <w:p w:rsidR="002575FC" w:rsidRDefault="002575FC" w:rsidP="002575FC">
            <w:pPr>
              <w:rPr>
                <w:sz w:val="20"/>
              </w:rPr>
            </w:pPr>
          </w:p>
          <w:p w:rsidR="002575FC" w:rsidRDefault="002575FC" w:rsidP="002575FC">
            <w:pPr>
              <w:rPr>
                <w:sz w:val="20"/>
              </w:rPr>
            </w:pPr>
            <w:r>
              <w:rPr>
                <w:sz w:val="20"/>
              </w:rPr>
              <w:t>……………………………………………………………………………………………………………………………...</w:t>
            </w:r>
          </w:p>
          <w:p w:rsidR="002575FC" w:rsidRDefault="002575FC" w:rsidP="002575FC">
            <w:pPr>
              <w:rPr>
                <w:sz w:val="20"/>
              </w:rPr>
            </w:pPr>
          </w:p>
          <w:p w:rsidR="002575FC" w:rsidRDefault="002575FC" w:rsidP="002575FC">
            <w:pPr>
              <w:rPr>
                <w:sz w:val="20"/>
              </w:rPr>
            </w:pPr>
            <w:r>
              <w:rPr>
                <w:sz w:val="20"/>
              </w:rPr>
              <w:t>……………………………………………………………………………………………………………………………...</w:t>
            </w:r>
          </w:p>
          <w:p w:rsidR="002575FC" w:rsidRDefault="002575FC" w:rsidP="002575FC">
            <w:pPr>
              <w:rPr>
                <w:sz w:val="20"/>
              </w:rPr>
            </w:pPr>
          </w:p>
          <w:p w:rsidR="002575FC" w:rsidRDefault="002575FC" w:rsidP="002575FC">
            <w:pPr>
              <w:rPr>
                <w:sz w:val="20"/>
              </w:rPr>
            </w:pPr>
            <w:r>
              <w:rPr>
                <w:sz w:val="20"/>
              </w:rPr>
              <w:t>……………………………………………………………………………………………………………………………...</w:t>
            </w:r>
          </w:p>
          <w:p w:rsidR="002575FC" w:rsidRDefault="002575FC" w:rsidP="002575FC">
            <w:pPr>
              <w:rPr>
                <w:sz w:val="20"/>
              </w:rPr>
            </w:pPr>
          </w:p>
          <w:p w:rsidR="002575FC" w:rsidRDefault="002575FC" w:rsidP="002575FC">
            <w:r>
              <w:rPr>
                <w:sz w:val="20"/>
              </w:rPr>
              <w:t>……………………………………………………………………………………………………………………………...</w:t>
            </w:r>
          </w:p>
          <w:p w:rsidR="002575FC" w:rsidRPr="002575FC" w:rsidRDefault="002575FC" w:rsidP="002575FC">
            <w:pPr>
              <w:rPr>
                <w:sz w:val="20"/>
              </w:rPr>
            </w:pPr>
          </w:p>
          <w:p w:rsidR="002575FC" w:rsidRPr="002575FC" w:rsidRDefault="002575FC" w:rsidP="002575FC">
            <w:pPr>
              <w:rPr>
                <w:sz w:val="20"/>
              </w:rPr>
            </w:pPr>
          </w:p>
        </w:tc>
      </w:tr>
    </w:tbl>
    <w:p w:rsidR="004B7DAF" w:rsidRPr="003E0536" w:rsidRDefault="004B7DAF" w:rsidP="004B7DAF">
      <w:pPr>
        <w:rPr>
          <w:sz w:val="20"/>
        </w:rPr>
      </w:pPr>
    </w:p>
    <w:p w:rsidR="004B7DAF" w:rsidRPr="002575FC" w:rsidRDefault="002575FC" w:rsidP="002575FC">
      <w:pPr>
        <w:jc w:val="right"/>
        <w:rPr>
          <w:b/>
          <w:i/>
        </w:rPr>
      </w:pPr>
      <w:r w:rsidRPr="002575FC">
        <w:rPr>
          <w:b/>
          <w:i/>
        </w:rPr>
        <w:t>Bruk eget ark om nødvendig.</w:t>
      </w:r>
    </w:p>
    <w:p w:rsidR="004B7DAF" w:rsidRPr="003E0536" w:rsidRDefault="004B7DAF" w:rsidP="004B7DAF">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16"/>
      </w:tblGrid>
      <w:tr w:rsidR="00CA6316" w:rsidTr="00CA6316">
        <w:tc>
          <w:tcPr>
            <w:tcW w:w="9778" w:type="dxa"/>
          </w:tcPr>
          <w:p w:rsidR="00CA6316" w:rsidRPr="00CA6316" w:rsidRDefault="00CA6316" w:rsidP="004B7DAF">
            <w:pPr>
              <w:rPr>
                <w:sz w:val="8"/>
              </w:rPr>
            </w:pPr>
          </w:p>
          <w:p w:rsidR="00CA6316" w:rsidRPr="00CA6316" w:rsidRDefault="00CA6316" w:rsidP="004B7DAF">
            <w:pPr>
              <w:rPr>
                <w:sz w:val="18"/>
              </w:rPr>
            </w:pPr>
            <w:r w:rsidRPr="00CA6316">
              <w:rPr>
                <w:sz w:val="18"/>
              </w:rPr>
              <w:t>Jeg mener følgende bør gjøres (dersom varsler ønsker å komme med forslag):</w:t>
            </w:r>
          </w:p>
          <w:p w:rsidR="00CA6316" w:rsidRPr="002575FC" w:rsidRDefault="00CA6316" w:rsidP="004B7DAF">
            <w:pPr>
              <w:rPr>
                <w:sz w:val="20"/>
              </w:rPr>
            </w:pPr>
          </w:p>
          <w:p w:rsidR="00A93010" w:rsidRDefault="00A93010" w:rsidP="004B7DAF">
            <w:pPr>
              <w:rPr>
                <w:sz w:val="20"/>
              </w:rPr>
            </w:pPr>
            <w:r>
              <w:rPr>
                <w:sz w:val="20"/>
              </w:rPr>
              <w:t>……………………………………………………………………………………………………………………………....</w:t>
            </w:r>
          </w:p>
          <w:p w:rsidR="00A93010" w:rsidRDefault="00A93010" w:rsidP="004B7DAF">
            <w:pPr>
              <w:rPr>
                <w:sz w:val="20"/>
              </w:rPr>
            </w:pPr>
          </w:p>
          <w:p w:rsidR="00A93010" w:rsidRDefault="00A93010" w:rsidP="004B7DAF">
            <w:pPr>
              <w:rPr>
                <w:sz w:val="20"/>
              </w:rPr>
            </w:pPr>
            <w:r>
              <w:rPr>
                <w:sz w:val="20"/>
              </w:rPr>
              <w:t>………………………………………………………………………………………………………………………………</w:t>
            </w:r>
          </w:p>
          <w:p w:rsidR="00A93010" w:rsidRDefault="00A93010" w:rsidP="004B7DAF">
            <w:pPr>
              <w:rPr>
                <w:sz w:val="20"/>
              </w:rPr>
            </w:pPr>
          </w:p>
          <w:p w:rsidR="00A93010" w:rsidRDefault="00A93010" w:rsidP="004B7DAF">
            <w:pPr>
              <w:rPr>
                <w:sz w:val="20"/>
              </w:rPr>
            </w:pPr>
            <w:r>
              <w:rPr>
                <w:sz w:val="20"/>
              </w:rPr>
              <w:t>……………………………………………………………………………………………………………………………....</w:t>
            </w:r>
          </w:p>
          <w:p w:rsidR="00A93010" w:rsidRDefault="00A93010" w:rsidP="004B7DAF">
            <w:pPr>
              <w:rPr>
                <w:sz w:val="20"/>
              </w:rPr>
            </w:pPr>
          </w:p>
          <w:p w:rsidR="002575FC" w:rsidRDefault="002575FC" w:rsidP="004B7DAF">
            <w:pPr>
              <w:rPr>
                <w:sz w:val="20"/>
              </w:rPr>
            </w:pPr>
            <w:r>
              <w:rPr>
                <w:sz w:val="20"/>
              </w:rPr>
              <w:t>………………………………………………………………………………………………………………………………</w:t>
            </w:r>
          </w:p>
          <w:p w:rsidR="002575FC" w:rsidRDefault="002575FC" w:rsidP="004B7DAF">
            <w:pPr>
              <w:rPr>
                <w:sz w:val="20"/>
              </w:rPr>
            </w:pPr>
          </w:p>
          <w:p w:rsidR="002575FC" w:rsidRPr="002575FC" w:rsidRDefault="002575FC" w:rsidP="004B7DAF">
            <w:pPr>
              <w:rPr>
                <w:sz w:val="32"/>
              </w:rPr>
            </w:pPr>
            <w:r>
              <w:rPr>
                <w:sz w:val="20"/>
              </w:rPr>
              <w:t>………………………………………………………………………………………………………………………………</w:t>
            </w:r>
          </w:p>
          <w:p w:rsidR="00CA6316" w:rsidRPr="002575FC" w:rsidRDefault="00CA6316" w:rsidP="004B7DAF">
            <w:pPr>
              <w:rPr>
                <w:sz w:val="20"/>
              </w:rPr>
            </w:pPr>
          </w:p>
          <w:p w:rsidR="00CA6316" w:rsidRPr="002575FC" w:rsidRDefault="00CA6316" w:rsidP="004B7DAF">
            <w:pPr>
              <w:rPr>
                <w:sz w:val="20"/>
              </w:rPr>
            </w:pPr>
          </w:p>
        </w:tc>
      </w:tr>
    </w:tbl>
    <w:p w:rsidR="00FD6E69" w:rsidRDefault="00FD6E69" w:rsidP="004B7DAF"/>
    <w:p w:rsidR="004B7DAF" w:rsidRDefault="004B7DAF" w:rsidP="004B7DAF">
      <w:r>
        <w:t>Forsvarlig varsling skal ikke gjengjeldes.</w:t>
      </w:r>
      <w:r w:rsidR="0058058C" w:rsidRPr="0058058C">
        <w:t xml:space="preserve"> Det vises til arbeidsmiljølovens (AML) § 2</w:t>
      </w:r>
      <w:r w:rsidR="0058058C">
        <w:t>-</w:t>
      </w:r>
      <w:r w:rsidR="0058058C" w:rsidRPr="0058058C">
        <w:t>5: Vern mot gjengjeldelse ved varsling.</w:t>
      </w:r>
    </w:p>
    <w:p w:rsidR="00FD6E69" w:rsidRDefault="00FD6E69" w:rsidP="004B7DAF"/>
    <w:p w:rsidR="005B6B62" w:rsidRDefault="004B7DAF" w:rsidP="004B7DAF">
      <w:r>
        <w:t>Gjengjeldelse mot arbeidstaker som varsler i samsvar med arbeidsmiljølovens bestemmelser er forbudt. Det betyr at arbeidsgiver ikke kan reagere på forsvarlig varsling med oppsigelse, avskjed, suspensjon, ordenstraff, trakassering, utstøtning</w:t>
      </w:r>
      <w:r w:rsidR="005B6B62">
        <w:t>, f</w:t>
      </w:r>
      <w:r>
        <w:t>ratakelse av arbeidsoppgaver eller andre negative reaksjoner som innebærer straff eller sanksjon. Arbeidstaker må likevel tåle saklig motargumenter eller motbevis knyttet til de kritikkverdige forholdene.</w:t>
      </w:r>
      <w:r w:rsidR="005B6B62">
        <w:t xml:space="preserve"> Hvis fremgangsmåten ved varsling ikke er forsvarlig, er den ansatte ikke vernet av forbudet mot gjengjeldelse.</w:t>
      </w:r>
    </w:p>
    <w:p w:rsidR="004B7DAF" w:rsidRDefault="004B7DAF" w:rsidP="004B7DAF"/>
    <w:p w:rsidR="004B7DAF" w:rsidRDefault="004B7DAF" w:rsidP="004B7DAF">
      <w:r>
        <w:t>En varsler som opplever gjengjeldelse må si fra til rådmannen eller annen leder som straks skal behandle et slikt tilfelle.</w:t>
      </w:r>
    </w:p>
    <w:p w:rsidR="004B7DAF" w:rsidRDefault="004B7DAF" w:rsidP="004B7DAF"/>
    <w:p w:rsidR="003E0536" w:rsidRDefault="003E0536" w:rsidP="004B7DAF"/>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2268"/>
        <w:gridCol w:w="5953"/>
      </w:tblGrid>
      <w:tr w:rsidR="004B7DAF" w:rsidTr="00434327">
        <w:tc>
          <w:tcPr>
            <w:tcW w:w="1418" w:type="dxa"/>
          </w:tcPr>
          <w:p w:rsidR="0058058C" w:rsidRPr="007627E8" w:rsidRDefault="0058058C" w:rsidP="00F17935">
            <w:pPr>
              <w:rPr>
                <w:b/>
                <w:sz w:val="12"/>
              </w:rPr>
            </w:pPr>
          </w:p>
          <w:p w:rsidR="004B7DAF" w:rsidRPr="007627E8" w:rsidRDefault="004B7DAF" w:rsidP="00F17935">
            <w:pPr>
              <w:rPr>
                <w:b/>
              </w:rPr>
            </w:pPr>
            <w:r w:rsidRPr="007627E8">
              <w:rPr>
                <w:b/>
              </w:rPr>
              <w:t>Varslet av:</w:t>
            </w:r>
          </w:p>
          <w:p w:rsidR="0058058C" w:rsidRPr="007627E8" w:rsidRDefault="0058058C" w:rsidP="00F17935">
            <w:pPr>
              <w:rPr>
                <w:b/>
                <w:sz w:val="12"/>
              </w:rPr>
            </w:pPr>
          </w:p>
        </w:tc>
        <w:tc>
          <w:tcPr>
            <w:tcW w:w="8221" w:type="dxa"/>
            <w:gridSpan w:val="2"/>
          </w:tcPr>
          <w:p w:rsidR="004B7DAF" w:rsidRPr="007627E8" w:rsidRDefault="004B7DAF" w:rsidP="00F17935">
            <w:pPr>
              <w:rPr>
                <w:b/>
              </w:rPr>
            </w:pPr>
          </w:p>
        </w:tc>
      </w:tr>
      <w:tr w:rsidR="004B7DAF" w:rsidTr="00434327">
        <w:tc>
          <w:tcPr>
            <w:tcW w:w="1418" w:type="dxa"/>
          </w:tcPr>
          <w:p w:rsidR="0058058C" w:rsidRPr="007627E8" w:rsidRDefault="0058058C" w:rsidP="00F17935">
            <w:pPr>
              <w:rPr>
                <w:b/>
                <w:sz w:val="12"/>
              </w:rPr>
            </w:pPr>
          </w:p>
          <w:p w:rsidR="004B7DAF" w:rsidRPr="007627E8" w:rsidRDefault="004B7DAF" w:rsidP="00F17935">
            <w:pPr>
              <w:rPr>
                <w:b/>
              </w:rPr>
            </w:pPr>
            <w:r w:rsidRPr="007627E8">
              <w:rPr>
                <w:b/>
              </w:rPr>
              <w:t>Dato:</w:t>
            </w:r>
          </w:p>
          <w:p w:rsidR="0058058C" w:rsidRPr="007627E8" w:rsidRDefault="0058058C" w:rsidP="00F17935">
            <w:pPr>
              <w:rPr>
                <w:b/>
                <w:sz w:val="12"/>
              </w:rPr>
            </w:pPr>
          </w:p>
        </w:tc>
        <w:tc>
          <w:tcPr>
            <w:tcW w:w="8221" w:type="dxa"/>
            <w:gridSpan w:val="2"/>
          </w:tcPr>
          <w:p w:rsidR="004B7DAF" w:rsidRPr="007627E8" w:rsidRDefault="004B7DAF" w:rsidP="00F17935">
            <w:pPr>
              <w:rPr>
                <w:b/>
              </w:rPr>
            </w:pPr>
          </w:p>
        </w:tc>
      </w:tr>
      <w:tr w:rsidR="004B7DAF" w:rsidTr="00434327">
        <w:tc>
          <w:tcPr>
            <w:tcW w:w="1418" w:type="dxa"/>
          </w:tcPr>
          <w:p w:rsidR="0058058C" w:rsidRPr="007627E8" w:rsidRDefault="0058058C" w:rsidP="00253F70">
            <w:pPr>
              <w:rPr>
                <w:b/>
                <w:sz w:val="12"/>
              </w:rPr>
            </w:pPr>
          </w:p>
          <w:p w:rsidR="004B7DAF" w:rsidRPr="007627E8" w:rsidRDefault="004B7DAF" w:rsidP="00253F70">
            <w:pPr>
              <w:rPr>
                <w:b/>
              </w:rPr>
            </w:pPr>
            <w:r w:rsidRPr="007627E8">
              <w:rPr>
                <w:b/>
              </w:rPr>
              <w:t>Vars</w:t>
            </w:r>
            <w:r w:rsidR="00253F70" w:rsidRPr="007627E8">
              <w:rPr>
                <w:b/>
              </w:rPr>
              <w:t>let til:</w:t>
            </w:r>
          </w:p>
          <w:p w:rsidR="0058058C" w:rsidRPr="007627E8" w:rsidRDefault="0058058C" w:rsidP="00253F70">
            <w:pPr>
              <w:rPr>
                <w:b/>
                <w:sz w:val="12"/>
              </w:rPr>
            </w:pPr>
          </w:p>
        </w:tc>
        <w:tc>
          <w:tcPr>
            <w:tcW w:w="8221" w:type="dxa"/>
            <w:gridSpan w:val="2"/>
          </w:tcPr>
          <w:p w:rsidR="004B7DAF" w:rsidRPr="007627E8" w:rsidRDefault="004B7DAF" w:rsidP="00F17935">
            <w:pPr>
              <w:rPr>
                <w:b/>
              </w:rPr>
            </w:pPr>
          </w:p>
        </w:tc>
      </w:tr>
      <w:tr w:rsidR="008A4548" w:rsidTr="00D96684">
        <w:tc>
          <w:tcPr>
            <w:tcW w:w="3686" w:type="dxa"/>
            <w:gridSpan w:val="2"/>
            <w:tcBorders>
              <w:right w:val="nil"/>
            </w:tcBorders>
          </w:tcPr>
          <w:p w:rsidR="008A4548" w:rsidRPr="007627E8" w:rsidRDefault="008A4548" w:rsidP="00253F70">
            <w:pPr>
              <w:rPr>
                <w:b/>
                <w:sz w:val="12"/>
              </w:rPr>
            </w:pPr>
            <w:r w:rsidRPr="007627E8">
              <w:rPr>
                <w:b/>
                <w:noProof/>
              </w:rPr>
              <w:pict>
                <v:rect id="_x0000_s1031" style="position:absolute;margin-left:155.55pt;margin-top:5.95pt;width:12.4pt;height:15.9pt;z-index:251657728;mso-position-horizontal-relative:text;mso-position-vertical-relative:text" strokeweight=".5pt"/>
              </w:pict>
            </w:r>
          </w:p>
          <w:p w:rsidR="008A4548" w:rsidRDefault="008A4548" w:rsidP="00253F70">
            <w:pPr>
              <w:rPr>
                <w:b/>
              </w:rPr>
            </w:pPr>
            <w:r w:rsidRPr="007627E8">
              <w:rPr>
                <w:b/>
              </w:rPr>
              <w:t>Jeg ønsker å være anonym:</w:t>
            </w:r>
          </w:p>
          <w:p w:rsidR="008A4548" w:rsidRPr="008A4548" w:rsidRDefault="008A4548" w:rsidP="00253F70">
            <w:pPr>
              <w:rPr>
                <w:b/>
                <w:sz w:val="12"/>
              </w:rPr>
            </w:pPr>
          </w:p>
        </w:tc>
        <w:tc>
          <w:tcPr>
            <w:tcW w:w="5953" w:type="dxa"/>
            <w:tcBorders>
              <w:left w:val="nil"/>
            </w:tcBorders>
            <w:vAlign w:val="center"/>
          </w:tcPr>
          <w:p w:rsidR="008A4548" w:rsidRPr="008A4548" w:rsidRDefault="008A4548" w:rsidP="008A4548">
            <w:pPr>
              <w:rPr>
                <w:sz w:val="12"/>
                <w:szCs w:val="16"/>
              </w:rPr>
            </w:pPr>
          </w:p>
          <w:p w:rsidR="008A4548" w:rsidRPr="00D96684" w:rsidRDefault="008A4548" w:rsidP="008A4548">
            <w:pPr>
              <w:rPr>
                <w:sz w:val="16"/>
                <w:szCs w:val="16"/>
              </w:rPr>
            </w:pPr>
            <w:r w:rsidRPr="00D96684">
              <w:rPr>
                <w:sz w:val="16"/>
                <w:szCs w:val="16"/>
              </w:rPr>
              <w:t>Med anonym varslig menes varsling uten at varslerens identitet er kjent for den som mottar varslet.</w:t>
            </w:r>
          </w:p>
          <w:p w:rsidR="008A4548" w:rsidRPr="007627E8" w:rsidRDefault="008A4548" w:rsidP="008A4548">
            <w:pPr>
              <w:rPr>
                <w:b/>
                <w:sz w:val="12"/>
              </w:rPr>
            </w:pPr>
          </w:p>
        </w:tc>
      </w:tr>
    </w:tbl>
    <w:p w:rsidR="003A63BA" w:rsidRPr="003A63BA" w:rsidRDefault="003A63BA">
      <w:pPr>
        <w:rPr>
          <w:sz w:val="16"/>
          <w:szCs w:val="16"/>
        </w:rPr>
      </w:pPr>
    </w:p>
    <w:sectPr w:rsidR="003A63BA" w:rsidRPr="003A63BA" w:rsidSect="002277A4">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7D3" w:rsidRDefault="002E27D3" w:rsidP="00EF3E64">
      <w:r>
        <w:separator/>
      </w:r>
    </w:p>
  </w:endnote>
  <w:endnote w:type="continuationSeparator" w:id="0">
    <w:p w:rsidR="002E27D3" w:rsidRDefault="002E27D3" w:rsidP="00EF3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FC" w:rsidRDefault="002575FC" w:rsidP="007D73CC">
    <w:pPr>
      <w:pStyle w:val="Bunntekst"/>
      <w:tabs>
        <w:tab w:val="clear" w:pos="9072"/>
        <w:tab w:val="right" w:pos="8364"/>
      </w:tabs>
      <w:ind w:right="-864"/>
      <w:jc w:val="right"/>
    </w:pPr>
    <w:r>
      <w:tab/>
    </w:r>
    <w:r>
      <w:tab/>
    </w:r>
    <w:r>
      <w:rPr>
        <w:lang w:eastAsia="en-US"/>
      </w:rPr>
    </w:r>
    <w:r>
      <w:pict>
        <v:group id="_x0000_s2060" style="width:43.2pt;height:18.7pt;mso-position-horizontal-relative:char;mso-position-vertical-relative:line" coordorigin="614,660" coordsize="864,374">
          <v:roundrect id="_x0000_s2061" style="position:absolute;left:859;top:415;width:374;height:864;rotation:-90" arcsize="10923f" strokecolor="#c4bc96"/>
          <v:roundrect id="_x0000_s2062"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63" type="#_x0000_t202" style="position:absolute;left:732;top:716;width:659;height:288" filled="f" stroked="f">
            <v:textbox style="mso-next-textbox:#_x0000_s2063" inset="0,0,0,0">
              <w:txbxContent>
                <w:p w:rsidR="002575FC" w:rsidRPr="007D73CC" w:rsidRDefault="002575FC" w:rsidP="007D73CC">
                  <w:pPr>
                    <w:jc w:val="center"/>
                    <w:rPr>
                      <w:color w:val="FFFFFF"/>
                    </w:rPr>
                  </w:pPr>
                  <w:fldSimple w:instr=" PAGE    \* MERGEFORMAT ">
                    <w:r w:rsidR="0018243F" w:rsidRPr="0018243F">
                      <w:rPr>
                        <w:b/>
                        <w:noProof/>
                        <w:color w:val="FFFFFF"/>
                      </w:rPr>
                      <w:t>2</w:t>
                    </w:r>
                  </w:fldSimple>
                </w:p>
              </w:txbxContent>
            </v:textbox>
          </v:shape>
          <w10:wrap anchorx="page" anchory="page"/>
          <w10:anchorlock/>
        </v:group>
      </w:pic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7D3" w:rsidRDefault="002E27D3" w:rsidP="00EF3E64">
      <w:r>
        <w:separator/>
      </w:r>
    </w:p>
  </w:footnote>
  <w:footnote w:type="continuationSeparator" w:id="0">
    <w:p w:rsidR="002E27D3" w:rsidRDefault="002E27D3" w:rsidP="00EF3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404E"/>
    <w:multiLevelType w:val="hybridMultilevel"/>
    <w:tmpl w:val="615207EA"/>
    <w:lvl w:ilvl="0" w:tplc="EDAA50C0">
      <w:start w:val="1"/>
      <w:numFmt w:val="decimal"/>
      <w:lvlText w:val="%1."/>
      <w:lvlJc w:val="left"/>
      <w:pPr>
        <w:ind w:left="720" w:hanging="360"/>
      </w:pPr>
      <w:rPr>
        <w:rFonts w:cs="Times New Roman" w:hint="default"/>
        <w:b w:val="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8FB0BB8"/>
    <w:multiLevelType w:val="hybridMultilevel"/>
    <w:tmpl w:val="47F64082"/>
    <w:lvl w:ilvl="0" w:tplc="40AA06BA">
      <w:start w:val="5"/>
      <w:numFmt w:val="bullet"/>
      <w:lvlText w:val=""/>
      <w:lvlJc w:val="left"/>
      <w:pPr>
        <w:ind w:left="1080" w:hanging="360"/>
      </w:pPr>
      <w:rPr>
        <w:rFonts w:ascii="Wingdings" w:eastAsia="Times New Roman" w:hAnsi="Wingdings"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nsid w:val="37E92F3F"/>
    <w:multiLevelType w:val="hybridMultilevel"/>
    <w:tmpl w:val="99F277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1945955"/>
    <w:multiLevelType w:val="hybridMultilevel"/>
    <w:tmpl w:val="A46A079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66B61923"/>
    <w:multiLevelType w:val="hybridMultilevel"/>
    <w:tmpl w:val="072C98F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09"/>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B7DAF"/>
    <w:rsid w:val="00015E89"/>
    <w:rsid w:val="00043A77"/>
    <w:rsid w:val="00045F12"/>
    <w:rsid w:val="00045F62"/>
    <w:rsid w:val="000555AF"/>
    <w:rsid w:val="00096E73"/>
    <w:rsid w:val="000A0F1A"/>
    <w:rsid w:val="000D299E"/>
    <w:rsid w:val="000E46A4"/>
    <w:rsid w:val="0010105D"/>
    <w:rsid w:val="001211B1"/>
    <w:rsid w:val="00163E6D"/>
    <w:rsid w:val="0018243F"/>
    <w:rsid w:val="001F754F"/>
    <w:rsid w:val="0020660F"/>
    <w:rsid w:val="002277A4"/>
    <w:rsid w:val="00253F70"/>
    <w:rsid w:val="002575FC"/>
    <w:rsid w:val="002A5420"/>
    <w:rsid w:val="002E27D3"/>
    <w:rsid w:val="00386E35"/>
    <w:rsid w:val="003A63BA"/>
    <w:rsid w:val="003E0536"/>
    <w:rsid w:val="003F7E13"/>
    <w:rsid w:val="00434327"/>
    <w:rsid w:val="00461FAB"/>
    <w:rsid w:val="00484634"/>
    <w:rsid w:val="004B7DAF"/>
    <w:rsid w:val="004E1678"/>
    <w:rsid w:val="00502DCA"/>
    <w:rsid w:val="0058058C"/>
    <w:rsid w:val="005B6B62"/>
    <w:rsid w:val="00607DBD"/>
    <w:rsid w:val="006973BD"/>
    <w:rsid w:val="006C7F64"/>
    <w:rsid w:val="00720D11"/>
    <w:rsid w:val="00733876"/>
    <w:rsid w:val="007627E8"/>
    <w:rsid w:val="0076553D"/>
    <w:rsid w:val="007742C6"/>
    <w:rsid w:val="00787576"/>
    <w:rsid w:val="007D73CC"/>
    <w:rsid w:val="00822A54"/>
    <w:rsid w:val="008A4548"/>
    <w:rsid w:val="008B30E6"/>
    <w:rsid w:val="008C3AEB"/>
    <w:rsid w:val="009009A0"/>
    <w:rsid w:val="00974BD0"/>
    <w:rsid w:val="00A11539"/>
    <w:rsid w:val="00A93010"/>
    <w:rsid w:val="00AB465D"/>
    <w:rsid w:val="00B94291"/>
    <w:rsid w:val="00BD54A4"/>
    <w:rsid w:val="00C314B0"/>
    <w:rsid w:val="00CA6316"/>
    <w:rsid w:val="00CB14C7"/>
    <w:rsid w:val="00D01462"/>
    <w:rsid w:val="00D727F4"/>
    <w:rsid w:val="00D96684"/>
    <w:rsid w:val="00DA1FB2"/>
    <w:rsid w:val="00DC75CB"/>
    <w:rsid w:val="00DE0BCE"/>
    <w:rsid w:val="00E6790A"/>
    <w:rsid w:val="00EB4B8F"/>
    <w:rsid w:val="00EF0CD4"/>
    <w:rsid w:val="00EF3E64"/>
    <w:rsid w:val="00F17935"/>
    <w:rsid w:val="00F57AA4"/>
    <w:rsid w:val="00F721B1"/>
    <w:rsid w:val="00FC3772"/>
    <w:rsid w:val="00FD0A9F"/>
    <w:rsid w:val="00FD6E6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DAF"/>
    <w:rPr>
      <w:sz w:val="24"/>
      <w:szCs w:val="24"/>
    </w:rPr>
  </w:style>
  <w:style w:type="paragraph" w:styleId="Overskrift1">
    <w:name w:val="heading 1"/>
    <w:basedOn w:val="Normal"/>
    <w:next w:val="Normal"/>
    <w:link w:val="Overskrift1Tegn"/>
    <w:qFormat/>
    <w:rsid w:val="004B7DAF"/>
    <w:pPr>
      <w:keepNext/>
      <w:spacing w:before="240" w:after="240"/>
      <w:outlineLvl w:val="0"/>
    </w:pPr>
    <w:rPr>
      <w:rFonts w:cs="Arial"/>
      <w:b/>
      <w:bCs/>
      <w:kern w:val="32"/>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4B7DAF"/>
    <w:rPr>
      <w:rFonts w:cs="Arial"/>
      <w:b/>
      <w:bCs/>
      <w:kern w:val="32"/>
      <w:sz w:val="28"/>
      <w:szCs w:val="28"/>
    </w:rPr>
  </w:style>
  <w:style w:type="paragraph" w:styleId="Listeavsnitt">
    <w:name w:val="List Paragraph"/>
    <w:basedOn w:val="Normal"/>
    <w:uiPriority w:val="34"/>
    <w:qFormat/>
    <w:rsid w:val="009009A0"/>
    <w:pPr>
      <w:ind w:left="708"/>
    </w:pPr>
  </w:style>
  <w:style w:type="paragraph" w:styleId="Topptekst">
    <w:name w:val="header"/>
    <w:basedOn w:val="Normal"/>
    <w:link w:val="TopptekstTegn"/>
    <w:rsid w:val="00EF3E64"/>
    <w:pPr>
      <w:tabs>
        <w:tab w:val="center" w:pos="4536"/>
        <w:tab w:val="right" w:pos="9072"/>
      </w:tabs>
    </w:pPr>
  </w:style>
  <w:style w:type="character" w:customStyle="1" w:styleId="TopptekstTegn">
    <w:name w:val="Topptekst Tegn"/>
    <w:link w:val="Topptekst"/>
    <w:rsid w:val="00EF3E64"/>
    <w:rPr>
      <w:sz w:val="24"/>
      <w:szCs w:val="24"/>
    </w:rPr>
  </w:style>
  <w:style w:type="paragraph" w:styleId="Bunntekst">
    <w:name w:val="footer"/>
    <w:basedOn w:val="Normal"/>
    <w:link w:val="BunntekstTegn"/>
    <w:uiPriority w:val="99"/>
    <w:rsid w:val="00EF3E64"/>
    <w:pPr>
      <w:tabs>
        <w:tab w:val="center" w:pos="4536"/>
        <w:tab w:val="right" w:pos="9072"/>
      </w:tabs>
    </w:pPr>
  </w:style>
  <w:style w:type="character" w:customStyle="1" w:styleId="BunntekstTegn">
    <w:name w:val="Bunntekst Tegn"/>
    <w:link w:val="Bunntekst"/>
    <w:uiPriority w:val="99"/>
    <w:rsid w:val="00EF3E64"/>
    <w:rPr>
      <w:sz w:val="24"/>
      <w:szCs w:val="24"/>
    </w:rPr>
  </w:style>
  <w:style w:type="character" w:styleId="Sidetall">
    <w:name w:val="page number"/>
    <w:uiPriority w:val="99"/>
    <w:unhideWhenUsed/>
    <w:rsid w:val="00EF3E64"/>
    <w:rPr>
      <w:rFonts w:eastAsia="Times New Roman" w:cs="Times New Roman"/>
      <w:bCs w:val="0"/>
      <w:iCs w:val="0"/>
      <w:szCs w:val="22"/>
      <w:lang w:val="nb-NO"/>
    </w:rPr>
  </w:style>
  <w:style w:type="table" w:styleId="Tabellrutenett">
    <w:name w:val="Table Grid"/>
    <w:basedOn w:val="Vanligtabell"/>
    <w:rsid w:val="00CA63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9588</Characters>
  <Application>Microsoft Office Word</Application>
  <DocSecurity>4</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Varnesregionen</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livols1</cp:lastModifiedBy>
  <cp:revision>2</cp:revision>
  <cp:lastPrinted>2009-08-26T13:05:00Z</cp:lastPrinted>
  <dcterms:created xsi:type="dcterms:W3CDTF">2012-08-09T09:57:00Z</dcterms:created>
  <dcterms:modified xsi:type="dcterms:W3CDTF">2012-08-09T09:57:00Z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-1754597996</vt:i4>
  </property>
</Properties>
</file>